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9C" w:rsidRPr="002210AC" w:rsidRDefault="003C0BF8" w:rsidP="007D2D2F">
      <w:pPr>
        <w:jc w:val="right"/>
        <w:rPr>
          <w:rFonts w:ascii="Calibri" w:hAnsi="Calibri" w:cs="Arial"/>
          <w:b/>
          <w:sz w:val="22"/>
          <w:szCs w:val="22"/>
        </w:rPr>
      </w:pPr>
      <w:r>
        <w:rPr>
          <w:rFonts w:ascii="Calibri" w:hAnsi="Calibri" w:cs="Arial"/>
          <w:b/>
          <w:noProof/>
          <w:sz w:val="22"/>
          <w:szCs w:val="22"/>
        </w:rPr>
        <w:drawing>
          <wp:inline distT="0" distB="0" distL="0" distR="0">
            <wp:extent cx="15906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90675" cy="857250"/>
                    </a:xfrm>
                    <a:prstGeom prst="rect">
                      <a:avLst/>
                    </a:prstGeom>
                    <a:noFill/>
                    <a:ln w="9525">
                      <a:noFill/>
                      <a:miter lim="800000"/>
                      <a:headEnd/>
                      <a:tailEnd/>
                    </a:ln>
                  </pic:spPr>
                </pic:pic>
              </a:graphicData>
            </a:graphic>
          </wp:inline>
        </w:drawing>
      </w:r>
    </w:p>
    <w:p w:rsidR="00F30D9C" w:rsidRPr="002210AC" w:rsidRDefault="00F30D9C">
      <w:pPr>
        <w:jc w:val="both"/>
        <w:rPr>
          <w:rFonts w:ascii="Calibri" w:hAnsi="Calibri" w:cs="Arial"/>
          <w:b/>
          <w:sz w:val="22"/>
          <w:szCs w:val="22"/>
        </w:rPr>
      </w:pPr>
      <w:r w:rsidRPr="002210AC">
        <w:rPr>
          <w:rFonts w:ascii="Calibri" w:hAnsi="Calibri" w:cs="Arial"/>
          <w:b/>
          <w:sz w:val="22"/>
          <w:szCs w:val="22"/>
        </w:rPr>
        <w:t>GRANT MAKING POLICY</w:t>
      </w:r>
    </w:p>
    <w:p w:rsidR="00F30D9C" w:rsidRPr="002210AC" w:rsidRDefault="00F30D9C">
      <w:pPr>
        <w:jc w:val="both"/>
        <w:rPr>
          <w:rFonts w:ascii="Calibri" w:hAnsi="Calibri" w:cs="Arial"/>
          <w:b/>
          <w:sz w:val="22"/>
          <w:szCs w:val="22"/>
        </w:rPr>
      </w:pPr>
    </w:p>
    <w:p w:rsidR="00F30D9C" w:rsidRPr="002210AC" w:rsidRDefault="00F30D9C">
      <w:pPr>
        <w:pStyle w:val="Heading1"/>
        <w:tabs>
          <w:tab w:val="left" w:pos="0"/>
        </w:tabs>
        <w:rPr>
          <w:rFonts w:ascii="Calibri" w:hAnsi="Calibri" w:cs="Arial"/>
          <w:sz w:val="22"/>
          <w:szCs w:val="22"/>
        </w:rPr>
      </w:pPr>
      <w:r w:rsidRPr="002210AC">
        <w:rPr>
          <w:rFonts w:ascii="Calibri" w:hAnsi="Calibri" w:cs="Arial"/>
          <w:sz w:val="22"/>
          <w:szCs w:val="22"/>
        </w:rPr>
        <w:t>Background</w:t>
      </w:r>
    </w:p>
    <w:p w:rsidR="00F30D9C" w:rsidRPr="002210AC" w:rsidRDefault="00F30D9C">
      <w:pPr>
        <w:jc w:val="both"/>
        <w:rPr>
          <w:rFonts w:ascii="Calibri" w:hAnsi="Calibri" w:cs="Arial"/>
          <w:sz w:val="22"/>
          <w:szCs w:val="22"/>
        </w:rPr>
      </w:pPr>
    </w:p>
    <w:p w:rsidR="00F30D9C" w:rsidRPr="002210AC" w:rsidRDefault="00F30D9C">
      <w:pPr>
        <w:jc w:val="both"/>
        <w:rPr>
          <w:rFonts w:ascii="Calibri" w:hAnsi="Calibri" w:cs="Arial"/>
          <w:sz w:val="22"/>
          <w:szCs w:val="22"/>
        </w:rPr>
      </w:pPr>
      <w:r w:rsidRPr="002210AC">
        <w:rPr>
          <w:rFonts w:ascii="Calibri" w:hAnsi="Calibri" w:cs="Arial"/>
          <w:sz w:val="22"/>
          <w:szCs w:val="22"/>
        </w:rPr>
        <w:t>The purpose of the Stevenage Community Trust is</w:t>
      </w:r>
      <w:r w:rsidR="007D2D2F" w:rsidRPr="002210AC">
        <w:rPr>
          <w:rFonts w:ascii="Calibri" w:hAnsi="Calibri" w:cs="Arial"/>
          <w:sz w:val="22"/>
          <w:szCs w:val="22"/>
        </w:rPr>
        <w:t xml:space="preserve"> to promote charitable activity</w:t>
      </w:r>
      <w:r w:rsidRPr="002210AC">
        <w:rPr>
          <w:rFonts w:ascii="Calibri" w:hAnsi="Calibri" w:cs="Arial"/>
          <w:sz w:val="22"/>
          <w:szCs w:val="22"/>
        </w:rPr>
        <w:t xml:space="preserve"> for the benefit of the Community in the Borough of Stevenage and the surrounding area.   This is done by raising funds to support groups working to raise the quality of community life and tackle disadvantage and, more directly, by making grants </w:t>
      </w:r>
      <w:r w:rsidR="00D122E4">
        <w:rPr>
          <w:rFonts w:ascii="Calibri" w:hAnsi="Calibri" w:cs="Arial"/>
          <w:sz w:val="22"/>
          <w:szCs w:val="22"/>
        </w:rPr>
        <w:t xml:space="preserve">for </w:t>
      </w:r>
      <w:r w:rsidRPr="002210AC">
        <w:rPr>
          <w:rFonts w:ascii="Calibri" w:hAnsi="Calibri" w:cs="Arial"/>
          <w:sz w:val="22"/>
          <w:szCs w:val="22"/>
        </w:rPr>
        <w:t>individuals to relieve poverty or enhance the quality of their lives.</w:t>
      </w:r>
    </w:p>
    <w:p w:rsidR="00F30D9C" w:rsidRPr="002210AC" w:rsidRDefault="00F30D9C">
      <w:pPr>
        <w:jc w:val="both"/>
        <w:rPr>
          <w:rFonts w:ascii="Calibri" w:hAnsi="Calibri" w:cs="Arial"/>
          <w:color w:val="FF0000"/>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 xml:space="preserve">In advertising its grant making activities, in soliciting applications and in making awards the Trust will endeavour not to discriminate against any individual or group, </w:t>
      </w:r>
      <w:r w:rsidR="008B74EA" w:rsidRPr="002210AC">
        <w:rPr>
          <w:rFonts w:ascii="Calibri" w:hAnsi="Calibri" w:cs="Arial"/>
          <w:sz w:val="22"/>
          <w:szCs w:val="22"/>
        </w:rPr>
        <w:t xml:space="preserve">but </w:t>
      </w:r>
      <w:r w:rsidRPr="002210AC">
        <w:rPr>
          <w:rFonts w:ascii="Calibri" w:hAnsi="Calibri" w:cs="Arial"/>
          <w:sz w:val="22"/>
          <w:szCs w:val="22"/>
        </w:rPr>
        <w:t>the Trust will not make grants for religious or political purposes or for any purposes other than the charitable purposes listed below. Commitment to equal opportunities underpins the grant-making process and is built into considerations about accessibility of information and equ</w:t>
      </w:r>
      <w:r w:rsidR="008B74EA" w:rsidRPr="002210AC">
        <w:rPr>
          <w:rFonts w:ascii="Calibri" w:hAnsi="Calibri" w:cs="Arial"/>
          <w:sz w:val="22"/>
          <w:szCs w:val="22"/>
        </w:rPr>
        <w:t>al</w:t>
      </w:r>
      <w:r w:rsidRPr="002210AC">
        <w:rPr>
          <w:rFonts w:ascii="Calibri" w:hAnsi="Calibri" w:cs="Arial"/>
          <w:sz w:val="22"/>
          <w:szCs w:val="22"/>
        </w:rPr>
        <w:t xml:space="preserve">ity of treatment.  </w:t>
      </w:r>
      <w:r w:rsidR="008B74EA" w:rsidRPr="002210AC">
        <w:rPr>
          <w:rFonts w:ascii="Calibri" w:hAnsi="Calibri" w:cs="Arial"/>
          <w:sz w:val="22"/>
          <w:szCs w:val="22"/>
        </w:rPr>
        <w:t>T</w:t>
      </w:r>
      <w:r w:rsidRPr="002210AC">
        <w:rPr>
          <w:rFonts w:ascii="Calibri" w:hAnsi="Calibri" w:cs="Arial"/>
          <w:sz w:val="22"/>
          <w:szCs w:val="22"/>
        </w:rPr>
        <w:t>he Trust strives to ensure that, within its published guidelines, every applicant and potential applicant is given a fair and equal opportunity to apply for Trust funding.   All grant applications are considered against the same, objective criteria.</w:t>
      </w:r>
    </w:p>
    <w:p w:rsidR="00F30D9C" w:rsidRPr="002210AC" w:rsidRDefault="00F30D9C">
      <w:pPr>
        <w:jc w:val="both"/>
        <w:rPr>
          <w:rFonts w:ascii="Calibri" w:hAnsi="Calibri" w:cs="Arial"/>
          <w:sz w:val="22"/>
          <w:szCs w:val="22"/>
        </w:rPr>
      </w:pPr>
    </w:p>
    <w:p w:rsidR="00F30D9C" w:rsidRPr="002210AC" w:rsidRDefault="00F30D9C">
      <w:pPr>
        <w:pStyle w:val="BodyText2"/>
        <w:rPr>
          <w:rFonts w:ascii="Calibri" w:hAnsi="Calibri" w:cs="Arial"/>
          <w:color w:val="auto"/>
          <w:sz w:val="22"/>
          <w:szCs w:val="22"/>
        </w:rPr>
      </w:pPr>
      <w:r w:rsidRPr="002210AC">
        <w:rPr>
          <w:rFonts w:ascii="Calibri" w:hAnsi="Calibri" w:cs="Arial"/>
          <w:color w:val="auto"/>
          <w:sz w:val="22"/>
          <w:szCs w:val="22"/>
        </w:rPr>
        <w:t>The Trust sometimes makes grants on behalf of other organisations or distributes monies given to the Trust for particular purposes. Grants made in this</w:t>
      </w:r>
      <w:r w:rsidR="003416A1">
        <w:rPr>
          <w:rFonts w:ascii="Calibri" w:hAnsi="Calibri" w:cs="Arial"/>
          <w:color w:val="auto"/>
          <w:sz w:val="22"/>
          <w:szCs w:val="22"/>
        </w:rPr>
        <w:t xml:space="preserve"> way may have different or more </w:t>
      </w:r>
      <w:r w:rsidRPr="002210AC">
        <w:rPr>
          <w:rFonts w:ascii="Calibri" w:hAnsi="Calibri" w:cs="Arial"/>
          <w:color w:val="auto"/>
          <w:sz w:val="22"/>
          <w:szCs w:val="22"/>
        </w:rPr>
        <w:t>restrictive conditions attached, than those made from the Trust’s own funds. In acting for other organisations, or accepting monies with particular conditions the Trust will be mindful of the limitations of its own charitable objects and of its commitment to equal opportunities in grant giving.</w:t>
      </w:r>
    </w:p>
    <w:p w:rsidR="00F30D9C" w:rsidRPr="002210AC" w:rsidRDefault="00F30D9C">
      <w:pPr>
        <w:pStyle w:val="Heading1"/>
        <w:tabs>
          <w:tab w:val="left" w:pos="0"/>
        </w:tabs>
        <w:rPr>
          <w:rFonts w:ascii="Calibri" w:hAnsi="Calibri" w:cs="Arial"/>
          <w:sz w:val="22"/>
          <w:szCs w:val="22"/>
        </w:rPr>
      </w:pPr>
    </w:p>
    <w:p w:rsidR="00F30D9C" w:rsidRPr="002210AC" w:rsidRDefault="00F30D9C">
      <w:pPr>
        <w:pStyle w:val="Heading1"/>
        <w:tabs>
          <w:tab w:val="left" w:pos="0"/>
        </w:tabs>
        <w:rPr>
          <w:rFonts w:ascii="Calibri" w:hAnsi="Calibri" w:cs="Arial"/>
          <w:sz w:val="22"/>
          <w:szCs w:val="22"/>
        </w:rPr>
      </w:pPr>
      <w:r w:rsidRPr="002210AC">
        <w:rPr>
          <w:rFonts w:ascii="Calibri" w:hAnsi="Calibri" w:cs="Arial"/>
          <w:sz w:val="22"/>
          <w:szCs w:val="22"/>
        </w:rPr>
        <w:t>Basic policy criteria</w:t>
      </w:r>
    </w:p>
    <w:p w:rsidR="007D2D2F" w:rsidRPr="007D2D2F" w:rsidRDefault="007D2D2F" w:rsidP="007D2D2F"/>
    <w:p w:rsidR="00F30D9C" w:rsidRPr="002210AC" w:rsidRDefault="00F30D9C">
      <w:pPr>
        <w:jc w:val="both"/>
        <w:rPr>
          <w:rFonts w:ascii="Calibri" w:hAnsi="Calibri" w:cs="Arial"/>
          <w:sz w:val="22"/>
          <w:szCs w:val="22"/>
        </w:rPr>
      </w:pPr>
      <w:r w:rsidRPr="002210AC">
        <w:rPr>
          <w:rFonts w:ascii="Calibri" w:hAnsi="Calibri" w:cs="Arial"/>
          <w:sz w:val="22"/>
          <w:szCs w:val="22"/>
        </w:rPr>
        <w:t>The Trust will only support individuals</w:t>
      </w:r>
      <w:r w:rsidR="001A5830">
        <w:rPr>
          <w:rFonts w:ascii="Calibri" w:hAnsi="Calibri" w:cs="Arial"/>
          <w:sz w:val="22"/>
          <w:szCs w:val="22"/>
        </w:rPr>
        <w:t xml:space="preserve">, </w:t>
      </w:r>
      <w:r w:rsidRPr="002210AC">
        <w:rPr>
          <w:rFonts w:ascii="Calibri" w:hAnsi="Calibri" w:cs="Arial"/>
          <w:sz w:val="22"/>
          <w:szCs w:val="22"/>
        </w:rPr>
        <w:t>community groups</w:t>
      </w:r>
      <w:r w:rsidR="001A5830">
        <w:rPr>
          <w:rFonts w:ascii="Calibri" w:hAnsi="Calibri" w:cs="Arial"/>
          <w:sz w:val="22"/>
          <w:szCs w:val="22"/>
        </w:rPr>
        <w:t>, charities</w:t>
      </w:r>
      <w:r w:rsidRPr="002210AC">
        <w:rPr>
          <w:rFonts w:ascii="Calibri" w:hAnsi="Calibri" w:cs="Arial"/>
          <w:sz w:val="22"/>
          <w:szCs w:val="22"/>
        </w:rPr>
        <w:t xml:space="preserve"> and voluntary organisations resident within or operating within its immediate area which is Stevenage, and the surrounding villages of Aston, Benington, Cromer, Datchworth, Graveley, Knebworth, Little Wymondley, Old Knebworth, Walkern, Watton-at-Stone, Weston</w:t>
      </w:r>
      <w:r w:rsidR="007D2D2F" w:rsidRPr="002210AC">
        <w:rPr>
          <w:rFonts w:ascii="Calibri" w:hAnsi="Calibri" w:cs="Arial"/>
          <w:sz w:val="22"/>
          <w:szCs w:val="22"/>
        </w:rPr>
        <w:t xml:space="preserve">, </w:t>
      </w:r>
      <w:r w:rsidRPr="002210AC">
        <w:rPr>
          <w:rFonts w:ascii="Calibri" w:hAnsi="Calibri" w:cs="Arial"/>
          <w:sz w:val="22"/>
          <w:szCs w:val="22"/>
        </w:rPr>
        <w:t>and Woolmer Green.</w:t>
      </w:r>
    </w:p>
    <w:p w:rsidR="00F30D9C" w:rsidRPr="002210AC" w:rsidRDefault="00F30D9C">
      <w:pPr>
        <w:jc w:val="both"/>
        <w:rPr>
          <w:rFonts w:ascii="Calibri" w:hAnsi="Calibri" w:cs="Arial"/>
          <w:color w:val="FF0000"/>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Applications must be for charitable purposes and fall within one of the following categories:</w:t>
      </w:r>
    </w:p>
    <w:p w:rsidR="00F30D9C" w:rsidRPr="002210AC" w:rsidRDefault="00F30D9C"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 the prevention or relief of poverty;</w:t>
      </w:r>
    </w:p>
    <w:p w:rsidR="00F30D9C" w:rsidRPr="002210AC" w:rsidRDefault="00F30D9C"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 the advancement of health or the saving of lives;</w:t>
      </w:r>
    </w:p>
    <w:p w:rsidR="00F30D9C" w:rsidRPr="002210AC" w:rsidRDefault="00FB1543"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 </w:t>
      </w:r>
      <w:r w:rsidR="00F30D9C" w:rsidRPr="002210AC">
        <w:rPr>
          <w:rFonts w:ascii="Calibri" w:hAnsi="Calibri" w:cs="Arial"/>
          <w:color w:val="222222"/>
          <w:sz w:val="22"/>
          <w:szCs w:val="22"/>
        </w:rPr>
        <w:t>the advancement of citizenship or community development;</w:t>
      </w:r>
    </w:p>
    <w:p w:rsidR="00F30D9C" w:rsidRPr="002210AC" w:rsidRDefault="00F30D9C"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 the advancement of the arts, culture, heritage or science;</w:t>
      </w:r>
    </w:p>
    <w:p w:rsidR="00F30D9C" w:rsidRPr="002210AC" w:rsidRDefault="00F30D9C"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 the advancement of amateur sport;</w:t>
      </w:r>
    </w:p>
    <w:p w:rsidR="00F30D9C" w:rsidRPr="002210AC" w:rsidRDefault="00F30D9C"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 the advancement of environmental protection or improvement;</w:t>
      </w:r>
    </w:p>
    <w:p w:rsidR="00F30D9C" w:rsidRPr="002210AC" w:rsidRDefault="00F30D9C"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 the relief of those in need, by reason of youth, age, ill-health, disability, financial </w:t>
      </w:r>
      <w:r w:rsidR="00FB1543" w:rsidRPr="002210AC">
        <w:rPr>
          <w:rFonts w:ascii="Calibri" w:hAnsi="Calibri" w:cs="Arial"/>
          <w:color w:val="222222"/>
          <w:sz w:val="22"/>
          <w:szCs w:val="22"/>
        </w:rPr>
        <w:t xml:space="preserve">   </w:t>
      </w:r>
      <w:r w:rsidRPr="002210AC">
        <w:rPr>
          <w:rFonts w:ascii="Calibri" w:hAnsi="Calibri" w:cs="Arial"/>
          <w:color w:val="222222"/>
          <w:sz w:val="22"/>
          <w:szCs w:val="22"/>
        </w:rPr>
        <w:t>hardship or other disadvantage;</w:t>
      </w:r>
      <w:r w:rsidR="00917393" w:rsidRPr="002210AC">
        <w:rPr>
          <w:rFonts w:ascii="Calibri" w:hAnsi="Calibri" w:cs="Arial"/>
          <w:color w:val="222222"/>
          <w:sz w:val="22"/>
          <w:szCs w:val="22"/>
        </w:rPr>
        <w:t xml:space="preserve"> and </w:t>
      </w:r>
    </w:p>
    <w:p w:rsidR="00F30D9C" w:rsidRPr="002210AC" w:rsidRDefault="00F30D9C" w:rsidP="00F30D9C">
      <w:pPr>
        <w:numPr>
          <w:ilvl w:val="0"/>
          <w:numId w:val="2"/>
        </w:numPr>
        <w:suppressAutoHyphens w:val="0"/>
        <w:rPr>
          <w:rFonts w:ascii="Calibri" w:hAnsi="Calibri" w:cs="Arial"/>
          <w:color w:val="222222"/>
          <w:sz w:val="22"/>
          <w:szCs w:val="22"/>
          <w:lang w:val="en-US"/>
        </w:rPr>
      </w:pPr>
      <w:r w:rsidRPr="002210AC">
        <w:rPr>
          <w:rFonts w:ascii="Calibri" w:hAnsi="Calibri" w:cs="Arial"/>
          <w:color w:val="222222"/>
          <w:sz w:val="22"/>
          <w:szCs w:val="22"/>
        </w:rPr>
        <w:t xml:space="preserve">other purposes </w:t>
      </w:r>
      <w:r w:rsidR="00FB1543" w:rsidRPr="002210AC">
        <w:rPr>
          <w:rFonts w:ascii="Calibri" w:hAnsi="Calibri" w:cs="Arial"/>
          <w:color w:val="222222"/>
          <w:sz w:val="22"/>
          <w:szCs w:val="22"/>
        </w:rPr>
        <w:t xml:space="preserve">which do not fall neatly into the above categories but are </w:t>
      </w:r>
      <w:r w:rsidRPr="002210AC">
        <w:rPr>
          <w:rFonts w:ascii="Calibri" w:hAnsi="Calibri" w:cs="Arial"/>
          <w:color w:val="222222"/>
          <w:sz w:val="22"/>
          <w:szCs w:val="22"/>
        </w:rPr>
        <w:t>recognised as charitable</w:t>
      </w:r>
      <w:r w:rsidR="00FB1543" w:rsidRPr="002210AC">
        <w:rPr>
          <w:rFonts w:ascii="Calibri" w:hAnsi="Calibri" w:cs="Arial"/>
          <w:color w:val="222222"/>
          <w:sz w:val="22"/>
          <w:szCs w:val="22"/>
        </w:rPr>
        <w:t xml:space="preserve"> by the Trust, are consistent with the spirit of the Trust’s charitable objectives </w:t>
      </w:r>
      <w:r w:rsidRPr="002210AC">
        <w:rPr>
          <w:rFonts w:ascii="Calibri" w:hAnsi="Calibri" w:cs="Arial"/>
          <w:color w:val="222222"/>
          <w:sz w:val="22"/>
          <w:szCs w:val="22"/>
        </w:rPr>
        <w:t xml:space="preserve">and </w:t>
      </w:r>
      <w:r w:rsidR="00FB1543" w:rsidRPr="002210AC">
        <w:rPr>
          <w:rFonts w:ascii="Calibri" w:hAnsi="Calibri" w:cs="Arial"/>
          <w:color w:val="222222"/>
          <w:sz w:val="22"/>
          <w:szCs w:val="22"/>
        </w:rPr>
        <w:t>are not subject to the exclusions and preferences indicated below.</w:t>
      </w:r>
    </w:p>
    <w:p w:rsidR="00F30D9C" w:rsidRPr="002210AC" w:rsidRDefault="00F30D9C" w:rsidP="00DE4A20">
      <w:pPr>
        <w:suppressAutoHyphens w:val="0"/>
        <w:rPr>
          <w:rFonts w:ascii="Calibri" w:hAnsi="Calibri" w:cs="Arial"/>
          <w:sz w:val="22"/>
          <w:szCs w:val="22"/>
          <w:lang w:val="en-US"/>
        </w:rPr>
      </w:pPr>
    </w:p>
    <w:p w:rsidR="00F30D9C" w:rsidRPr="002210AC" w:rsidRDefault="00F30D9C">
      <w:pPr>
        <w:jc w:val="both"/>
        <w:rPr>
          <w:rFonts w:ascii="Calibri" w:hAnsi="Calibri" w:cs="Arial"/>
          <w:sz w:val="22"/>
          <w:szCs w:val="22"/>
        </w:rPr>
      </w:pPr>
    </w:p>
    <w:p w:rsidR="00632125" w:rsidRDefault="00632125">
      <w:pPr>
        <w:pStyle w:val="Heading2"/>
        <w:tabs>
          <w:tab w:val="left" w:pos="0"/>
        </w:tabs>
        <w:rPr>
          <w:rFonts w:ascii="Calibri" w:hAnsi="Calibri" w:cs="Arial"/>
          <w:b/>
          <w:color w:val="auto"/>
          <w:sz w:val="22"/>
          <w:szCs w:val="22"/>
          <w:u w:val="none"/>
        </w:rPr>
      </w:pPr>
    </w:p>
    <w:p w:rsidR="00F30D9C" w:rsidRPr="00665C30" w:rsidRDefault="00F30D9C">
      <w:pPr>
        <w:pStyle w:val="Heading2"/>
        <w:tabs>
          <w:tab w:val="left" w:pos="0"/>
        </w:tabs>
        <w:rPr>
          <w:rFonts w:ascii="Calibri" w:hAnsi="Calibri" w:cs="Arial"/>
          <w:b/>
          <w:color w:val="auto"/>
          <w:sz w:val="22"/>
          <w:szCs w:val="22"/>
          <w:u w:val="none"/>
        </w:rPr>
      </w:pPr>
      <w:r w:rsidRPr="00665C30">
        <w:rPr>
          <w:rFonts w:ascii="Calibri" w:hAnsi="Calibri" w:cs="Arial"/>
          <w:b/>
          <w:color w:val="auto"/>
          <w:sz w:val="22"/>
          <w:szCs w:val="22"/>
          <w:u w:val="none"/>
        </w:rPr>
        <w:t>Organisations</w:t>
      </w:r>
    </w:p>
    <w:p w:rsidR="00665C30" w:rsidRPr="00665C30" w:rsidRDefault="00665C30" w:rsidP="00665C30"/>
    <w:p w:rsidR="00F30D9C" w:rsidRPr="002210AC" w:rsidRDefault="00F30D9C">
      <w:pPr>
        <w:jc w:val="both"/>
        <w:rPr>
          <w:rFonts w:ascii="Calibri" w:hAnsi="Calibri" w:cs="Arial"/>
          <w:sz w:val="22"/>
          <w:szCs w:val="22"/>
        </w:rPr>
      </w:pPr>
      <w:r w:rsidRPr="002210AC">
        <w:rPr>
          <w:rFonts w:ascii="Calibri" w:hAnsi="Calibri" w:cs="Arial"/>
          <w:sz w:val="22"/>
          <w:szCs w:val="22"/>
        </w:rPr>
        <w:t>Groups do not have to be registered charities but do have to show evidence of some formal structure</w:t>
      </w:r>
      <w:r w:rsidRPr="002210AC">
        <w:rPr>
          <w:rFonts w:ascii="Calibri" w:hAnsi="Calibri" w:cs="Arial"/>
          <w:color w:val="FF0000"/>
          <w:sz w:val="22"/>
          <w:szCs w:val="22"/>
        </w:rPr>
        <w:t xml:space="preserve"> </w:t>
      </w:r>
      <w:r w:rsidRPr="002210AC">
        <w:rPr>
          <w:rFonts w:ascii="Calibri" w:hAnsi="Calibri" w:cs="Arial"/>
          <w:sz w:val="22"/>
          <w:szCs w:val="22"/>
        </w:rPr>
        <w:t>and sound governance</w:t>
      </w:r>
      <w:r w:rsidR="001A5830">
        <w:rPr>
          <w:rFonts w:ascii="Calibri" w:hAnsi="Calibri" w:cs="Arial"/>
          <w:sz w:val="22"/>
          <w:szCs w:val="22"/>
        </w:rPr>
        <w:t>.</w:t>
      </w:r>
    </w:p>
    <w:p w:rsidR="00F30D9C" w:rsidRPr="002210AC" w:rsidRDefault="00F30D9C">
      <w:pPr>
        <w:jc w:val="both"/>
        <w:rPr>
          <w:rFonts w:ascii="Calibri" w:hAnsi="Calibri" w:cs="Arial"/>
          <w:sz w:val="22"/>
          <w:szCs w:val="22"/>
        </w:rPr>
      </w:pPr>
    </w:p>
    <w:p w:rsidR="00F30D9C" w:rsidRDefault="00F30D9C">
      <w:pPr>
        <w:pStyle w:val="BodyText"/>
        <w:rPr>
          <w:rFonts w:ascii="Calibri" w:hAnsi="Calibri" w:cs="Arial"/>
          <w:sz w:val="22"/>
          <w:szCs w:val="22"/>
        </w:rPr>
      </w:pPr>
      <w:r w:rsidRPr="002210AC">
        <w:rPr>
          <w:rFonts w:ascii="Calibri" w:hAnsi="Calibri" w:cs="Arial"/>
          <w:sz w:val="22"/>
          <w:szCs w:val="22"/>
        </w:rPr>
        <w:t>All grant applica</w:t>
      </w:r>
      <w:r w:rsidR="008B74EA" w:rsidRPr="002210AC">
        <w:rPr>
          <w:rFonts w:ascii="Calibri" w:hAnsi="Calibri" w:cs="Arial"/>
          <w:sz w:val="22"/>
          <w:szCs w:val="22"/>
        </w:rPr>
        <w:t>n</w:t>
      </w:r>
      <w:r w:rsidRPr="002210AC">
        <w:rPr>
          <w:rFonts w:ascii="Calibri" w:hAnsi="Calibri" w:cs="Arial"/>
          <w:sz w:val="22"/>
          <w:szCs w:val="22"/>
        </w:rPr>
        <w:t xml:space="preserve">ts </w:t>
      </w:r>
      <w:r w:rsidR="008B74EA" w:rsidRPr="002210AC">
        <w:rPr>
          <w:rFonts w:ascii="Calibri" w:hAnsi="Calibri" w:cs="Arial"/>
          <w:sz w:val="22"/>
          <w:szCs w:val="22"/>
        </w:rPr>
        <w:t>must</w:t>
      </w:r>
      <w:r w:rsidRPr="002210AC">
        <w:rPr>
          <w:rFonts w:ascii="Calibri" w:hAnsi="Calibri" w:cs="Arial"/>
          <w:sz w:val="22"/>
          <w:szCs w:val="22"/>
        </w:rPr>
        <w:t xml:space="preserve"> supply a copy of their most recent financial accounts or</w:t>
      </w:r>
      <w:r w:rsidR="003416A1">
        <w:rPr>
          <w:rFonts w:ascii="Calibri" w:hAnsi="Calibri" w:cs="Arial"/>
          <w:sz w:val="22"/>
          <w:szCs w:val="22"/>
        </w:rPr>
        <w:t xml:space="preserve"> in the case of new organisations</w:t>
      </w:r>
      <w:r w:rsidRPr="002210AC">
        <w:rPr>
          <w:rFonts w:ascii="Calibri" w:hAnsi="Calibri" w:cs="Arial"/>
          <w:sz w:val="22"/>
          <w:szCs w:val="22"/>
        </w:rPr>
        <w:t xml:space="preserve"> a </w:t>
      </w:r>
      <w:r w:rsidR="003416A1">
        <w:rPr>
          <w:rFonts w:ascii="Calibri" w:hAnsi="Calibri" w:cs="Arial"/>
          <w:sz w:val="22"/>
          <w:szCs w:val="22"/>
        </w:rPr>
        <w:t>copy of a recent bank statement.</w:t>
      </w:r>
    </w:p>
    <w:p w:rsidR="00E26E84" w:rsidRDefault="00E26E84">
      <w:pPr>
        <w:pStyle w:val="BodyText"/>
        <w:rPr>
          <w:rFonts w:ascii="Calibri" w:hAnsi="Calibri" w:cs="Arial"/>
          <w:sz w:val="22"/>
          <w:szCs w:val="22"/>
        </w:rPr>
      </w:pPr>
    </w:p>
    <w:p w:rsidR="00E26E84" w:rsidRPr="002210AC" w:rsidRDefault="00E26E84">
      <w:pPr>
        <w:pStyle w:val="BodyText"/>
        <w:rPr>
          <w:rFonts w:ascii="Calibri" w:hAnsi="Calibri" w:cs="Arial"/>
          <w:sz w:val="22"/>
          <w:szCs w:val="22"/>
        </w:rPr>
      </w:pPr>
      <w:r>
        <w:rPr>
          <w:rFonts w:ascii="Calibri" w:hAnsi="Calibri" w:cs="Arial"/>
          <w:sz w:val="22"/>
          <w:szCs w:val="22"/>
        </w:rPr>
        <w:t>Other than in exceptional circumstances, organisations must allow a minimum of 12 months between applications.</w:t>
      </w:r>
    </w:p>
    <w:p w:rsidR="00F30D9C" w:rsidRPr="002210AC" w:rsidRDefault="00F30D9C">
      <w:pPr>
        <w:jc w:val="both"/>
        <w:rPr>
          <w:rFonts w:ascii="Calibri" w:hAnsi="Calibri" w:cs="Arial"/>
          <w:sz w:val="22"/>
          <w:szCs w:val="22"/>
        </w:rPr>
      </w:pPr>
    </w:p>
    <w:p w:rsidR="00F30D9C" w:rsidRPr="00665C30" w:rsidRDefault="00F30D9C">
      <w:pPr>
        <w:pStyle w:val="Heading2"/>
        <w:tabs>
          <w:tab w:val="left" w:pos="0"/>
        </w:tabs>
        <w:rPr>
          <w:rFonts w:ascii="Calibri" w:hAnsi="Calibri" w:cs="Arial"/>
          <w:b/>
          <w:color w:val="auto"/>
          <w:sz w:val="22"/>
          <w:szCs w:val="22"/>
          <w:u w:val="none"/>
        </w:rPr>
      </w:pPr>
      <w:r w:rsidRPr="00665C30">
        <w:rPr>
          <w:rFonts w:ascii="Calibri" w:hAnsi="Calibri" w:cs="Arial"/>
          <w:b/>
          <w:color w:val="auto"/>
          <w:sz w:val="22"/>
          <w:szCs w:val="22"/>
          <w:u w:val="none"/>
        </w:rPr>
        <w:t>Individuals</w:t>
      </w:r>
    </w:p>
    <w:p w:rsidR="00665C30" w:rsidRDefault="00665C30">
      <w:pPr>
        <w:jc w:val="both"/>
        <w:rPr>
          <w:rFonts w:ascii="Calibri" w:hAnsi="Calibri" w:cs="Arial"/>
          <w:sz w:val="22"/>
          <w:szCs w:val="22"/>
        </w:rPr>
      </w:pPr>
    </w:p>
    <w:p w:rsidR="00F30D9C" w:rsidRDefault="00F30D9C">
      <w:pPr>
        <w:jc w:val="both"/>
        <w:rPr>
          <w:rFonts w:ascii="Calibri" w:hAnsi="Calibri" w:cs="Arial"/>
          <w:sz w:val="22"/>
          <w:szCs w:val="22"/>
        </w:rPr>
      </w:pPr>
      <w:r w:rsidRPr="002210AC">
        <w:rPr>
          <w:rFonts w:ascii="Calibri" w:hAnsi="Calibri" w:cs="Arial"/>
          <w:sz w:val="22"/>
          <w:szCs w:val="22"/>
        </w:rPr>
        <w:t>The Trust is also able to assist individuals in need but these requests must c</w:t>
      </w:r>
      <w:r w:rsidR="00632125">
        <w:rPr>
          <w:rFonts w:ascii="Calibri" w:hAnsi="Calibri" w:cs="Arial"/>
          <w:sz w:val="22"/>
          <w:szCs w:val="22"/>
        </w:rPr>
        <w:t>ome through a recognised third p</w:t>
      </w:r>
      <w:r w:rsidRPr="002210AC">
        <w:rPr>
          <w:rFonts w:ascii="Calibri" w:hAnsi="Calibri" w:cs="Arial"/>
          <w:sz w:val="22"/>
          <w:szCs w:val="22"/>
        </w:rPr>
        <w:t xml:space="preserve">arty agency. </w:t>
      </w:r>
      <w:r w:rsidR="00116F73" w:rsidRPr="002210AC">
        <w:rPr>
          <w:rFonts w:ascii="Calibri" w:hAnsi="Calibri" w:cs="Arial"/>
          <w:sz w:val="22"/>
          <w:szCs w:val="22"/>
        </w:rPr>
        <w:t xml:space="preserve">Although the Trust will decide methods of payment on a case by case basis, </w:t>
      </w:r>
      <w:r w:rsidRPr="002210AC">
        <w:rPr>
          <w:rFonts w:ascii="Calibri" w:hAnsi="Calibri" w:cs="Arial"/>
          <w:sz w:val="22"/>
          <w:szCs w:val="22"/>
        </w:rPr>
        <w:t>payment</w:t>
      </w:r>
      <w:r w:rsidR="00116F73" w:rsidRPr="002210AC">
        <w:rPr>
          <w:rFonts w:ascii="Calibri" w:hAnsi="Calibri" w:cs="Arial"/>
          <w:sz w:val="22"/>
          <w:szCs w:val="22"/>
        </w:rPr>
        <w:t>s</w:t>
      </w:r>
      <w:r w:rsidR="007D2D2F" w:rsidRPr="002210AC">
        <w:rPr>
          <w:rFonts w:ascii="Calibri" w:hAnsi="Calibri" w:cs="Arial"/>
          <w:sz w:val="22"/>
          <w:szCs w:val="22"/>
        </w:rPr>
        <w:t xml:space="preserve"> will</w:t>
      </w:r>
      <w:r w:rsidR="00116F73" w:rsidRPr="002210AC">
        <w:rPr>
          <w:rFonts w:ascii="Calibri" w:hAnsi="Calibri" w:cs="Arial"/>
          <w:sz w:val="22"/>
          <w:szCs w:val="22"/>
        </w:rPr>
        <w:t xml:space="preserve"> not </w:t>
      </w:r>
      <w:r w:rsidRPr="002210AC">
        <w:rPr>
          <w:rFonts w:ascii="Calibri" w:hAnsi="Calibri" w:cs="Arial"/>
          <w:sz w:val="22"/>
          <w:szCs w:val="22"/>
        </w:rPr>
        <w:t>be made to an individual but item</w:t>
      </w:r>
      <w:r w:rsidR="00116F73" w:rsidRPr="002210AC">
        <w:rPr>
          <w:rFonts w:ascii="Calibri" w:hAnsi="Calibri" w:cs="Arial"/>
          <w:sz w:val="22"/>
          <w:szCs w:val="22"/>
        </w:rPr>
        <w:t>s</w:t>
      </w:r>
      <w:r w:rsidRPr="002210AC">
        <w:rPr>
          <w:rFonts w:ascii="Calibri" w:hAnsi="Calibri" w:cs="Arial"/>
          <w:sz w:val="22"/>
          <w:szCs w:val="22"/>
        </w:rPr>
        <w:t xml:space="preserve"> of equipment or </w:t>
      </w:r>
      <w:r w:rsidR="00116F73" w:rsidRPr="002210AC">
        <w:rPr>
          <w:rFonts w:ascii="Calibri" w:hAnsi="Calibri" w:cs="Arial"/>
          <w:sz w:val="22"/>
          <w:szCs w:val="22"/>
        </w:rPr>
        <w:t xml:space="preserve">a </w:t>
      </w:r>
      <w:r w:rsidRPr="002210AC">
        <w:rPr>
          <w:rFonts w:ascii="Calibri" w:hAnsi="Calibri" w:cs="Arial"/>
          <w:sz w:val="22"/>
          <w:szCs w:val="22"/>
        </w:rPr>
        <w:t>service will be purchased on their behalf.</w:t>
      </w:r>
    </w:p>
    <w:p w:rsidR="00877CCC" w:rsidRDefault="00877CCC">
      <w:pPr>
        <w:jc w:val="both"/>
        <w:rPr>
          <w:rFonts w:ascii="Calibri" w:hAnsi="Calibri" w:cs="Arial"/>
          <w:sz w:val="22"/>
          <w:szCs w:val="22"/>
        </w:rPr>
      </w:pPr>
    </w:p>
    <w:p w:rsidR="00D122E4" w:rsidRDefault="00877CCC">
      <w:pPr>
        <w:jc w:val="both"/>
        <w:rPr>
          <w:rFonts w:ascii="Calibri" w:hAnsi="Calibri" w:cs="Arial"/>
          <w:sz w:val="22"/>
          <w:szCs w:val="22"/>
        </w:rPr>
      </w:pPr>
      <w:r>
        <w:rPr>
          <w:rFonts w:ascii="Calibri" w:hAnsi="Calibri" w:cs="Arial"/>
          <w:sz w:val="22"/>
          <w:szCs w:val="22"/>
        </w:rPr>
        <w:t>Funding will be withdrawn after 3 months following approval unless a satisfactory reason is provided for non-spend.</w:t>
      </w:r>
    </w:p>
    <w:p w:rsidR="00992470" w:rsidRDefault="00992470">
      <w:pPr>
        <w:jc w:val="both"/>
        <w:rPr>
          <w:rFonts w:ascii="Calibri" w:hAnsi="Calibri" w:cs="Arial"/>
          <w:sz w:val="22"/>
          <w:szCs w:val="22"/>
        </w:rPr>
      </w:pPr>
    </w:p>
    <w:p w:rsidR="00D122E4" w:rsidRDefault="00D122E4">
      <w:pPr>
        <w:jc w:val="both"/>
        <w:rPr>
          <w:rFonts w:ascii="Calibri" w:hAnsi="Calibri" w:cs="Arial"/>
          <w:sz w:val="22"/>
          <w:szCs w:val="22"/>
        </w:rPr>
      </w:pPr>
      <w:r>
        <w:rPr>
          <w:rFonts w:ascii="Calibri" w:hAnsi="Calibri" w:cs="Arial"/>
          <w:sz w:val="22"/>
          <w:szCs w:val="22"/>
        </w:rPr>
        <w:t>All information received will be treated in the strictest confidence.</w:t>
      </w:r>
    </w:p>
    <w:p w:rsidR="00D122E4" w:rsidRDefault="00D122E4">
      <w:pPr>
        <w:jc w:val="both"/>
        <w:rPr>
          <w:rFonts w:ascii="Calibri" w:hAnsi="Calibri" w:cs="Arial"/>
          <w:sz w:val="22"/>
          <w:szCs w:val="22"/>
        </w:rPr>
      </w:pPr>
    </w:p>
    <w:p w:rsidR="00D122E4" w:rsidRDefault="00D122E4">
      <w:pPr>
        <w:jc w:val="both"/>
        <w:rPr>
          <w:rFonts w:ascii="Calibri" w:hAnsi="Calibri" w:cs="Arial"/>
          <w:sz w:val="22"/>
          <w:szCs w:val="22"/>
        </w:rPr>
      </w:pPr>
      <w:r>
        <w:rPr>
          <w:rFonts w:ascii="Calibri" w:hAnsi="Calibri" w:cs="Arial"/>
          <w:sz w:val="22"/>
          <w:szCs w:val="22"/>
        </w:rPr>
        <w:t>Where appropriate</w:t>
      </w:r>
      <w:r w:rsidR="00632125">
        <w:rPr>
          <w:rFonts w:ascii="Calibri" w:hAnsi="Calibri" w:cs="Arial"/>
          <w:sz w:val="22"/>
          <w:szCs w:val="22"/>
        </w:rPr>
        <w:t>,</w:t>
      </w:r>
      <w:r>
        <w:rPr>
          <w:rFonts w:ascii="Calibri" w:hAnsi="Calibri" w:cs="Arial"/>
          <w:sz w:val="22"/>
          <w:szCs w:val="22"/>
        </w:rPr>
        <w:t xml:space="preserve"> equipment will be provided by a supplier nominated by the Trust which can include the Stevenage Furniture Recycling</w:t>
      </w:r>
      <w:bookmarkStart w:id="0" w:name="_GoBack"/>
      <w:bookmarkEnd w:id="0"/>
      <w:r>
        <w:rPr>
          <w:rFonts w:ascii="Calibri" w:hAnsi="Calibri" w:cs="Arial"/>
          <w:sz w:val="22"/>
          <w:szCs w:val="22"/>
        </w:rPr>
        <w:t xml:space="preserve"> Scheme. </w:t>
      </w:r>
    </w:p>
    <w:p w:rsidR="00632125" w:rsidRDefault="00632125">
      <w:pPr>
        <w:jc w:val="both"/>
        <w:rPr>
          <w:rFonts w:ascii="Calibri" w:hAnsi="Calibri" w:cs="Arial"/>
          <w:sz w:val="22"/>
          <w:szCs w:val="22"/>
        </w:rPr>
      </w:pPr>
    </w:p>
    <w:p w:rsidR="00632125" w:rsidRDefault="00632125">
      <w:pPr>
        <w:jc w:val="both"/>
        <w:rPr>
          <w:rFonts w:ascii="Calibri" w:hAnsi="Calibri" w:cs="Arial"/>
          <w:b/>
          <w:sz w:val="22"/>
          <w:szCs w:val="22"/>
        </w:rPr>
      </w:pPr>
      <w:r w:rsidRPr="00632125">
        <w:rPr>
          <w:rFonts w:ascii="Calibri" w:hAnsi="Calibri" w:cs="Arial"/>
          <w:b/>
          <w:sz w:val="22"/>
          <w:szCs w:val="22"/>
        </w:rPr>
        <w:t>Sports grants</w:t>
      </w:r>
    </w:p>
    <w:p w:rsidR="00632125" w:rsidRDefault="00632125">
      <w:pPr>
        <w:jc w:val="both"/>
        <w:rPr>
          <w:rFonts w:ascii="Calibri" w:hAnsi="Calibri" w:cs="Arial"/>
          <w:b/>
          <w:sz w:val="22"/>
          <w:szCs w:val="22"/>
        </w:rPr>
      </w:pPr>
    </w:p>
    <w:p w:rsidR="00632125" w:rsidRPr="00632125" w:rsidRDefault="00632125">
      <w:pPr>
        <w:jc w:val="both"/>
        <w:rPr>
          <w:rFonts w:ascii="Calibri" w:hAnsi="Calibri" w:cs="Arial"/>
          <w:sz w:val="22"/>
          <w:szCs w:val="22"/>
        </w:rPr>
      </w:pPr>
      <w:r>
        <w:rPr>
          <w:rFonts w:ascii="Calibri" w:hAnsi="Calibri" w:cs="Arial"/>
          <w:sz w:val="22"/>
          <w:szCs w:val="22"/>
        </w:rPr>
        <w:t>Applications to assist with funding for elite athletes must be submitted by a recognised official.</w:t>
      </w:r>
    </w:p>
    <w:p w:rsidR="003739DF" w:rsidRPr="002210AC" w:rsidRDefault="003739DF">
      <w:pPr>
        <w:jc w:val="both"/>
        <w:rPr>
          <w:rFonts w:ascii="Calibri" w:hAnsi="Calibri" w:cs="Arial"/>
          <w:sz w:val="22"/>
          <w:szCs w:val="22"/>
        </w:rPr>
      </w:pPr>
    </w:p>
    <w:p w:rsidR="00F30D9C" w:rsidRPr="00877CCC" w:rsidRDefault="00F30D9C" w:rsidP="00877CCC">
      <w:pPr>
        <w:pStyle w:val="Heading2"/>
        <w:tabs>
          <w:tab w:val="left" w:pos="0"/>
        </w:tabs>
        <w:rPr>
          <w:rFonts w:ascii="Calibri" w:hAnsi="Calibri" w:cs="Arial"/>
          <w:b/>
          <w:color w:val="auto"/>
          <w:sz w:val="22"/>
          <w:szCs w:val="22"/>
          <w:u w:val="none"/>
        </w:rPr>
      </w:pPr>
      <w:r w:rsidRPr="00877CCC">
        <w:rPr>
          <w:rFonts w:ascii="Calibri" w:hAnsi="Calibri" w:cs="Arial"/>
          <w:b/>
          <w:color w:val="auto"/>
          <w:sz w:val="22"/>
          <w:szCs w:val="22"/>
          <w:u w:val="none"/>
        </w:rPr>
        <w:t>All grant applicants</w:t>
      </w:r>
    </w:p>
    <w:p w:rsidR="00665C30" w:rsidRPr="00665C30" w:rsidRDefault="00665C30" w:rsidP="00665C30"/>
    <w:p w:rsidR="00F30D9C" w:rsidRDefault="00F30D9C">
      <w:pPr>
        <w:jc w:val="both"/>
        <w:rPr>
          <w:rFonts w:ascii="Calibri" w:hAnsi="Calibri" w:cs="Arial"/>
          <w:sz w:val="22"/>
          <w:szCs w:val="22"/>
        </w:rPr>
      </w:pPr>
      <w:r w:rsidRPr="002210AC">
        <w:rPr>
          <w:rFonts w:ascii="Calibri" w:hAnsi="Calibri" w:cs="Arial"/>
          <w:sz w:val="22"/>
          <w:szCs w:val="22"/>
        </w:rPr>
        <w:t>Application for a grant to purchase equipment must enclose a quote from the supplier, and also show evidence of being able to make full use of the equipment, and state how the subsequent running and maintenance costs will be met.</w:t>
      </w:r>
      <w:r w:rsidR="00FA200C">
        <w:rPr>
          <w:rFonts w:ascii="Calibri" w:hAnsi="Calibri" w:cs="Arial"/>
          <w:sz w:val="22"/>
          <w:szCs w:val="22"/>
        </w:rPr>
        <w:t xml:space="preserve"> </w:t>
      </w:r>
    </w:p>
    <w:p w:rsidR="00CC2EB9" w:rsidRDefault="00CC2EB9">
      <w:pPr>
        <w:jc w:val="both"/>
        <w:rPr>
          <w:rFonts w:ascii="Calibri" w:hAnsi="Calibri" w:cs="Arial"/>
          <w:sz w:val="22"/>
          <w:szCs w:val="22"/>
        </w:rPr>
      </w:pPr>
    </w:p>
    <w:p w:rsidR="00CC2EB9" w:rsidRPr="000055DC" w:rsidRDefault="00CC2EB9">
      <w:pPr>
        <w:jc w:val="both"/>
        <w:rPr>
          <w:rFonts w:ascii="Calibri" w:hAnsi="Calibri" w:cs="Arial"/>
          <w:b/>
          <w:sz w:val="22"/>
          <w:szCs w:val="22"/>
        </w:rPr>
      </w:pPr>
      <w:r w:rsidRPr="000055DC">
        <w:rPr>
          <w:rFonts w:ascii="Calibri" w:hAnsi="Calibri" w:cs="Arial"/>
          <w:b/>
          <w:sz w:val="22"/>
          <w:szCs w:val="22"/>
        </w:rPr>
        <w:t>Child protection</w:t>
      </w:r>
    </w:p>
    <w:p w:rsidR="00CC2EB9" w:rsidRPr="000055DC" w:rsidRDefault="00CC2EB9">
      <w:pPr>
        <w:jc w:val="both"/>
        <w:rPr>
          <w:rFonts w:ascii="Calibri" w:hAnsi="Calibri" w:cs="Arial"/>
          <w:sz w:val="22"/>
          <w:szCs w:val="22"/>
        </w:rPr>
      </w:pPr>
    </w:p>
    <w:p w:rsidR="00CC2EB9" w:rsidRPr="00D236D1" w:rsidRDefault="00CC2EB9">
      <w:pPr>
        <w:jc w:val="both"/>
        <w:rPr>
          <w:rFonts w:ascii="Calibri" w:hAnsi="Calibri" w:cs="Arial"/>
          <w:sz w:val="22"/>
          <w:szCs w:val="22"/>
        </w:rPr>
      </w:pPr>
      <w:r w:rsidRPr="000055DC">
        <w:rPr>
          <w:rFonts w:asciiTheme="minorHAnsi" w:hAnsiTheme="minorHAnsi"/>
          <w:sz w:val="22"/>
          <w:szCs w:val="22"/>
        </w:rPr>
        <w:t xml:space="preserve">It is a requirement that any grant seeking organisation that works with children or young people has a child protection policy. Similarly, any organisation working with vulnerable people should have an appropriate policy. No grants are to be made to any such organisation without confirmation that they have this policy </w:t>
      </w:r>
      <w:r w:rsidRPr="000055DC">
        <w:rPr>
          <w:rFonts w:asciiTheme="minorHAnsi" w:hAnsiTheme="minorHAnsi"/>
          <w:iCs/>
          <w:sz w:val="22"/>
          <w:szCs w:val="22"/>
        </w:rPr>
        <w:t>or written confirmation that they have adopted and accepted this policy as their child and vulnerable adult protection policy, with the necessary grammatical changes to reflect their organisational status.  The Trust will work with groups to help them make such grammatical changes</w:t>
      </w:r>
      <w:r w:rsidRPr="000055DC">
        <w:rPr>
          <w:rFonts w:asciiTheme="minorHAnsi" w:hAnsiTheme="minorHAnsi"/>
          <w:sz w:val="22"/>
          <w:szCs w:val="22"/>
        </w:rPr>
        <w:t>.</w:t>
      </w:r>
    </w:p>
    <w:p w:rsidR="00F30D9C" w:rsidRPr="002210AC" w:rsidRDefault="00F30D9C">
      <w:pPr>
        <w:jc w:val="both"/>
        <w:rPr>
          <w:rFonts w:ascii="Calibri" w:hAnsi="Calibri" w:cs="Arial"/>
          <w:sz w:val="22"/>
          <w:szCs w:val="22"/>
        </w:rPr>
      </w:pPr>
    </w:p>
    <w:p w:rsidR="00F30D9C" w:rsidRDefault="00F30D9C">
      <w:pPr>
        <w:pStyle w:val="Heading1"/>
        <w:tabs>
          <w:tab w:val="left" w:pos="0"/>
        </w:tabs>
        <w:rPr>
          <w:rFonts w:ascii="Calibri" w:hAnsi="Calibri" w:cs="Arial"/>
          <w:sz w:val="22"/>
          <w:szCs w:val="22"/>
        </w:rPr>
      </w:pPr>
      <w:r w:rsidRPr="002210AC">
        <w:rPr>
          <w:rFonts w:ascii="Calibri" w:hAnsi="Calibri" w:cs="Arial"/>
          <w:sz w:val="22"/>
          <w:szCs w:val="22"/>
        </w:rPr>
        <w:t>Exclusions</w:t>
      </w:r>
    </w:p>
    <w:p w:rsidR="00665C30" w:rsidRPr="00665C30" w:rsidRDefault="00665C30" w:rsidP="00665C30"/>
    <w:p w:rsidR="00F30D9C" w:rsidRPr="002210AC" w:rsidRDefault="00F30D9C">
      <w:pPr>
        <w:rPr>
          <w:rFonts w:ascii="Calibri" w:hAnsi="Calibri" w:cs="Arial"/>
          <w:sz w:val="22"/>
          <w:szCs w:val="22"/>
        </w:rPr>
      </w:pPr>
      <w:r w:rsidRPr="002210AC">
        <w:rPr>
          <w:rFonts w:ascii="Calibri" w:hAnsi="Calibri" w:cs="Arial"/>
          <w:sz w:val="22"/>
          <w:szCs w:val="22"/>
        </w:rPr>
        <w:t>We will not support applications for the purpose of:</w:t>
      </w:r>
    </w:p>
    <w:p w:rsidR="00F30D9C" w:rsidRPr="002210AC" w:rsidRDefault="00F30D9C">
      <w:pPr>
        <w:numPr>
          <w:ilvl w:val="0"/>
          <w:numId w:val="6"/>
        </w:numPr>
        <w:tabs>
          <w:tab w:val="left" w:pos="420"/>
        </w:tabs>
        <w:ind w:left="420"/>
        <w:rPr>
          <w:rFonts w:ascii="Calibri" w:hAnsi="Calibri" w:cs="Arial"/>
          <w:sz w:val="22"/>
          <w:szCs w:val="22"/>
        </w:rPr>
      </w:pPr>
      <w:r w:rsidRPr="002210AC">
        <w:rPr>
          <w:rFonts w:ascii="Calibri" w:hAnsi="Calibri" w:cs="Arial"/>
          <w:sz w:val="22"/>
          <w:szCs w:val="22"/>
        </w:rPr>
        <w:t>pursuing political objectives</w:t>
      </w:r>
    </w:p>
    <w:p w:rsidR="00F30D9C" w:rsidRPr="002210AC" w:rsidRDefault="00F30D9C">
      <w:pPr>
        <w:numPr>
          <w:ilvl w:val="0"/>
          <w:numId w:val="6"/>
        </w:numPr>
        <w:tabs>
          <w:tab w:val="left" w:pos="420"/>
        </w:tabs>
        <w:ind w:left="420"/>
        <w:rPr>
          <w:rFonts w:ascii="Calibri" w:hAnsi="Calibri" w:cs="Arial"/>
          <w:sz w:val="22"/>
          <w:szCs w:val="22"/>
        </w:rPr>
      </w:pPr>
      <w:r w:rsidRPr="002210AC">
        <w:rPr>
          <w:rFonts w:ascii="Calibri" w:hAnsi="Calibri" w:cs="Arial"/>
          <w:sz w:val="22"/>
          <w:szCs w:val="22"/>
        </w:rPr>
        <w:t>religious evangelism</w:t>
      </w:r>
    </w:p>
    <w:p w:rsidR="00F30D9C" w:rsidRPr="002210AC" w:rsidRDefault="00F30D9C">
      <w:pPr>
        <w:numPr>
          <w:ilvl w:val="0"/>
          <w:numId w:val="6"/>
        </w:numPr>
        <w:tabs>
          <w:tab w:val="left" w:pos="420"/>
        </w:tabs>
        <w:ind w:left="420"/>
        <w:rPr>
          <w:rFonts w:ascii="Calibri" w:hAnsi="Calibri" w:cs="Arial"/>
          <w:sz w:val="22"/>
          <w:szCs w:val="22"/>
        </w:rPr>
      </w:pPr>
      <w:r w:rsidRPr="002210AC">
        <w:rPr>
          <w:rFonts w:ascii="Calibri" w:hAnsi="Calibri" w:cs="Arial"/>
          <w:sz w:val="22"/>
          <w:szCs w:val="22"/>
        </w:rPr>
        <w:t>pursuing trade union objectives save for the welfare functions of trade unions</w:t>
      </w:r>
    </w:p>
    <w:p w:rsidR="00F30D9C" w:rsidRPr="002210AC" w:rsidRDefault="00F30D9C">
      <w:pPr>
        <w:numPr>
          <w:ilvl w:val="0"/>
          <w:numId w:val="6"/>
        </w:numPr>
        <w:tabs>
          <w:tab w:val="left" w:pos="420"/>
        </w:tabs>
        <w:ind w:left="420"/>
        <w:rPr>
          <w:rFonts w:ascii="Calibri" w:hAnsi="Calibri" w:cs="Arial"/>
          <w:sz w:val="22"/>
          <w:szCs w:val="22"/>
        </w:rPr>
      </w:pPr>
      <w:r w:rsidRPr="002210AC">
        <w:rPr>
          <w:rFonts w:ascii="Calibri" w:hAnsi="Calibri" w:cs="Arial"/>
          <w:sz w:val="22"/>
          <w:szCs w:val="22"/>
        </w:rPr>
        <w:t>animal welfare</w:t>
      </w:r>
    </w:p>
    <w:p w:rsidR="007D2D2F" w:rsidRDefault="00F30D9C" w:rsidP="007D2D2F">
      <w:pPr>
        <w:numPr>
          <w:ilvl w:val="0"/>
          <w:numId w:val="6"/>
        </w:numPr>
        <w:tabs>
          <w:tab w:val="left" w:pos="420"/>
        </w:tabs>
        <w:ind w:left="420"/>
        <w:rPr>
          <w:rFonts w:ascii="Calibri" w:hAnsi="Calibri" w:cs="Arial"/>
          <w:sz w:val="22"/>
          <w:szCs w:val="22"/>
        </w:rPr>
      </w:pPr>
      <w:r w:rsidRPr="002210AC">
        <w:rPr>
          <w:rFonts w:ascii="Calibri" w:hAnsi="Calibri" w:cs="Arial"/>
          <w:sz w:val="22"/>
          <w:szCs w:val="22"/>
        </w:rPr>
        <w:lastRenderedPageBreak/>
        <w:t>any other purpose inconsistent with the Trust’s charitable objects</w:t>
      </w:r>
    </w:p>
    <w:p w:rsidR="00D122E4" w:rsidRPr="002210AC" w:rsidRDefault="00D122E4" w:rsidP="007D2D2F">
      <w:pPr>
        <w:numPr>
          <w:ilvl w:val="0"/>
          <w:numId w:val="6"/>
        </w:numPr>
        <w:tabs>
          <w:tab w:val="left" w:pos="420"/>
        </w:tabs>
        <w:ind w:left="420"/>
        <w:rPr>
          <w:rFonts w:ascii="Calibri" w:hAnsi="Calibri" w:cs="Arial"/>
          <w:sz w:val="22"/>
          <w:szCs w:val="22"/>
        </w:rPr>
      </w:pPr>
      <w:r>
        <w:rPr>
          <w:rFonts w:ascii="Calibri" w:hAnsi="Calibri" w:cs="Arial"/>
          <w:sz w:val="22"/>
          <w:szCs w:val="22"/>
        </w:rPr>
        <w:t xml:space="preserve">retrospective grants </w:t>
      </w:r>
    </w:p>
    <w:p w:rsidR="00F30D9C" w:rsidRPr="002210AC" w:rsidRDefault="00F30D9C" w:rsidP="007D2D2F">
      <w:pPr>
        <w:tabs>
          <w:tab w:val="left" w:pos="420"/>
        </w:tabs>
        <w:ind w:left="60"/>
        <w:rPr>
          <w:rFonts w:ascii="Calibri" w:hAnsi="Calibri" w:cs="Arial"/>
          <w:sz w:val="22"/>
          <w:szCs w:val="22"/>
        </w:rPr>
      </w:pPr>
      <w:r w:rsidRPr="002210AC">
        <w:rPr>
          <w:rFonts w:ascii="Calibri" w:hAnsi="Calibri" w:cs="Arial"/>
          <w:sz w:val="22"/>
          <w:szCs w:val="22"/>
        </w:rPr>
        <w:t xml:space="preserve">(Some of these exclusions are preferences, some </w:t>
      </w:r>
      <w:r w:rsidR="008B74EA" w:rsidRPr="002210AC">
        <w:rPr>
          <w:rFonts w:ascii="Calibri" w:hAnsi="Calibri" w:cs="Arial"/>
          <w:sz w:val="22"/>
          <w:szCs w:val="22"/>
        </w:rPr>
        <w:t xml:space="preserve">are against </w:t>
      </w:r>
      <w:r w:rsidR="007D2D2F" w:rsidRPr="002210AC">
        <w:rPr>
          <w:rFonts w:ascii="Calibri" w:hAnsi="Calibri" w:cs="Arial"/>
          <w:sz w:val="22"/>
          <w:szCs w:val="22"/>
        </w:rPr>
        <w:t>charity law</w:t>
      </w:r>
      <w:r w:rsidRPr="002210AC">
        <w:rPr>
          <w:rFonts w:ascii="Calibri" w:hAnsi="Calibri" w:cs="Arial"/>
          <w:sz w:val="22"/>
          <w:szCs w:val="22"/>
        </w:rPr>
        <w:t>)</w:t>
      </w:r>
    </w:p>
    <w:p w:rsidR="00F30D9C" w:rsidRPr="002210AC" w:rsidRDefault="00F30D9C">
      <w:pPr>
        <w:ind w:left="60"/>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Given that our resources cannot meet every need, the Trust prefers not to fund the following:</w:t>
      </w:r>
    </w:p>
    <w:p w:rsidR="00F30D9C" w:rsidRPr="002210AC" w:rsidRDefault="00F30D9C">
      <w:pPr>
        <w:jc w:val="both"/>
        <w:rPr>
          <w:rFonts w:ascii="Calibri" w:hAnsi="Calibri" w:cs="Arial"/>
          <w:sz w:val="22"/>
          <w:szCs w:val="22"/>
        </w:rPr>
      </w:pPr>
    </w:p>
    <w:p w:rsidR="00F30D9C" w:rsidRPr="002210AC" w:rsidRDefault="007D2D2F">
      <w:pPr>
        <w:numPr>
          <w:ilvl w:val="0"/>
          <w:numId w:val="4"/>
        </w:numPr>
        <w:tabs>
          <w:tab w:val="left" w:pos="1080"/>
        </w:tabs>
        <w:ind w:left="1080"/>
        <w:jc w:val="both"/>
        <w:rPr>
          <w:rFonts w:ascii="Calibri" w:hAnsi="Calibri" w:cs="Arial"/>
          <w:sz w:val="22"/>
          <w:szCs w:val="22"/>
        </w:rPr>
      </w:pPr>
      <w:r w:rsidRPr="002210AC">
        <w:rPr>
          <w:rFonts w:ascii="Calibri" w:hAnsi="Calibri" w:cs="Arial"/>
          <w:sz w:val="22"/>
          <w:szCs w:val="22"/>
        </w:rPr>
        <w:t>r</w:t>
      </w:r>
      <w:r w:rsidR="00F30D9C" w:rsidRPr="002210AC">
        <w:rPr>
          <w:rFonts w:ascii="Calibri" w:hAnsi="Calibri" w:cs="Arial"/>
          <w:sz w:val="22"/>
          <w:szCs w:val="22"/>
        </w:rPr>
        <w:t>eplacement of statutory funding</w:t>
      </w:r>
    </w:p>
    <w:p w:rsidR="00F30D9C" w:rsidRPr="002210AC" w:rsidRDefault="007D2D2F">
      <w:pPr>
        <w:numPr>
          <w:ilvl w:val="0"/>
          <w:numId w:val="4"/>
        </w:numPr>
        <w:tabs>
          <w:tab w:val="left" w:pos="1080"/>
        </w:tabs>
        <w:ind w:left="1080"/>
        <w:jc w:val="both"/>
        <w:rPr>
          <w:rFonts w:ascii="Calibri" w:hAnsi="Calibri" w:cs="Arial"/>
          <w:sz w:val="22"/>
          <w:szCs w:val="22"/>
        </w:rPr>
      </w:pPr>
      <w:r w:rsidRPr="002210AC">
        <w:rPr>
          <w:rFonts w:ascii="Calibri" w:hAnsi="Calibri" w:cs="Arial"/>
          <w:sz w:val="22"/>
          <w:szCs w:val="22"/>
        </w:rPr>
        <w:t>g</w:t>
      </w:r>
      <w:r w:rsidR="00F30D9C" w:rsidRPr="002210AC">
        <w:rPr>
          <w:rFonts w:ascii="Calibri" w:hAnsi="Calibri" w:cs="Arial"/>
          <w:sz w:val="22"/>
          <w:szCs w:val="22"/>
        </w:rPr>
        <w:t>eneral appeals</w:t>
      </w:r>
    </w:p>
    <w:p w:rsidR="00F30D9C" w:rsidRPr="002210AC" w:rsidRDefault="007D2D2F">
      <w:pPr>
        <w:numPr>
          <w:ilvl w:val="0"/>
          <w:numId w:val="4"/>
        </w:numPr>
        <w:tabs>
          <w:tab w:val="left" w:pos="1080"/>
        </w:tabs>
        <w:ind w:left="1080"/>
        <w:jc w:val="both"/>
        <w:rPr>
          <w:rFonts w:ascii="Calibri" w:hAnsi="Calibri" w:cs="Arial"/>
          <w:sz w:val="22"/>
          <w:szCs w:val="22"/>
        </w:rPr>
      </w:pPr>
      <w:r w:rsidRPr="002210AC">
        <w:rPr>
          <w:rFonts w:ascii="Calibri" w:hAnsi="Calibri" w:cs="Arial"/>
          <w:sz w:val="22"/>
          <w:szCs w:val="22"/>
        </w:rPr>
        <w:t>l</w:t>
      </w:r>
      <w:r w:rsidR="00F30D9C" w:rsidRPr="002210AC">
        <w:rPr>
          <w:rFonts w:ascii="Calibri" w:hAnsi="Calibri" w:cs="Arial"/>
          <w:sz w:val="22"/>
          <w:szCs w:val="22"/>
        </w:rPr>
        <w:t>arge national charities</w:t>
      </w:r>
    </w:p>
    <w:p w:rsidR="00F30D9C" w:rsidRPr="002210AC" w:rsidRDefault="007D2D2F">
      <w:pPr>
        <w:numPr>
          <w:ilvl w:val="0"/>
          <w:numId w:val="4"/>
        </w:numPr>
        <w:tabs>
          <w:tab w:val="left" w:pos="1080"/>
        </w:tabs>
        <w:ind w:left="1080"/>
        <w:jc w:val="both"/>
        <w:rPr>
          <w:rFonts w:ascii="Calibri" w:hAnsi="Calibri" w:cs="Arial"/>
          <w:sz w:val="22"/>
          <w:szCs w:val="22"/>
        </w:rPr>
      </w:pPr>
      <w:r w:rsidRPr="002210AC">
        <w:rPr>
          <w:rFonts w:ascii="Calibri" w:hAnsi="Calibri" w:cs="Arial"/>
          <w:sz w:val="22"/>
          <w:szCs w:val="22"/>
        </w:rPr>
        <w:t>e</w:t>
      </w:r>
      <w:r w:rsidR="00F30D9C" w:rsidRPr="002210AC">
        <w:rPr>
          <w:rFonts w:ascii="Calibri" w:hAnsi="Calibri" w:cs="Arial"/>
          <w:sz w:val="22"/>
          <w:szCs w:val="22"/>
        </w:rPr>
        <w:t>ducational projects that should be covered within the national curriculum</w:t>
      </w:r>
    </w:p>
    <w:p w:rsidR="00FA200C" w:rsidRDefault="00F30D9C" w:rsidP="00FA200C">
      <w:pPr>
        <w:numPr>
          <w:ilvl w:val="0"/>
          <w:numId w:val="4"/>
        </w:numPr>
        <w:tabs>
          <w:tab w:val="left" w:pos="1080"/>
        </w:tabs>
        <w:ind w:left="1080"/>
        <w:jc w:val="both"/>
        <w:rPr>
          <w:rFonts w:ascii="Calibri" w:hAnsi="Calibri" w:cs="Arial"/>
          <w:i/>
          <w:sz w:val="22"/>
          <w:szCs w:val="22"/>
        </w:rPr>
      </w:pPr>
      <w:r w:rsidRPr="002210AC">
        <w:rPr>
          <w:rFonts w:ascii="Calibri" w:hAnsi="Calibri" w:cs="Arial"/>
          <w:sz w:val="22"/>
          <w:szCs w:val="22"/>
        </w:rPr>
        <w:t>the costs of medical treatment</w:t>
      </w:r>
    </w:p>
    <w:p w:rsidR="00F30D9C" w:rsidRDefault="00FA200C" w:rsidP="00FA200C">
      <w:pPr>
        <w:numPr>
          <w:ilvl w:val="0"/>
          <w:numId w:val="4"/>
        </w:numPr>
        <w:tabs>
          <w:tab w:val="left" w:pos="1080"/>
        </w:tabs>
        <w:ind w:left="1080"/>
        <w:jc w:val="both"/>
        <w:rPr>
          <w:rFonts w:ascii="Calibri" w:hAnsi="Calibri" w:cs="Arial"/>
          <w:i/>
          <w:sz w:val="22"/>
          <w:szCs w:val="22"/>
        </w:rPr>
      </w:pPr>
      <w:r>
        <w:rPr>
          <w:rFonts w:ascii="Calibri" w:hAnsi="Calibri" w:cs="Arial"/>
          <w:sz w:val="22"/>
          <w:szCs w:val="22"/>
        </w:rPr>
        <w:t>general running costs</w:t>
      </w:r>
    </w:p>
    <w:p w:rsidR="008E125F" w:rsidRPr="00FA200C" w:rsidRDefault="008E125F" w:rsidP="008E125F">
      <w:pPr>
        <w:tabs>
          <w:tab w:val="left" w:pos="1080"/>
        </w:tabs>
        <w:ind w:left="1080"/>
        <w:jc w:val="both"/>
        <w:rPr>
          <w:rFonts w:ascii="Calibri" w:hAnsi="Calibri" w:cs="Arial"/>
          <w:i/>
          <w:sz w:val="22"/>
          <w:szCs w:val="22"/>
        </w:rPr>
      </w:pPr>
    </w:p>
    <w:p w:rsidR="00F30D9C" w:rsidRPr="002210AC" w:rsidRDefault="00F30D9C">
      <w:pPr>
        <w:pStyle w:val="BodyText2"/>
        <w:rPr>
          <w:rFonts w:ascii="Calibri" w:hAnsi="Calibri" w:cs="Arial"/>
          <w:color w:val="auto"/>
          <w:sz w:val="22"/>
          <w:szCs w:val="22"/>
        </w:rPr>
      </w:pPr>
      <w:r w:rsidRPr="002210AC">
        <w:rPr>
          <w:rFonts w:ascii="Calibri" w:hAnsi="Calibri" w:cs="Arial"/>
          <w:color w:val="auto"/>
          <w:sz w:val="22"/>
          <w:szCs w:val="22"/>
        </w:rPr>
        <w:t>These preferences may be revised from time to time by the Trustees.</w:t>
      </w:r>
    </w:p>
    <w:p w:rsidR="00F30D9C" w:rsidRPr="002210AC" w:rsidRDefault="00F30D9C">
      <w:pPr>
        <w:jc w:val="both"/>
        <w:rPr>
          <w:rFonts w:ascii="Calibri" w:hAnsi="Calibri" w:cs="Arial"/>
          <w:sz w:val="22"/>
          <w:szCs w:val="22"/>
        </w:rPr>
      </w:pPr>
    </w:p>
    <w:p w:rsidR="00F30D9C" w:rsidRDefault="00F30D9C">
      <w:pPr>
        <w:pStyle w:val="Heading3"/>
        <w:tabs>
          <w:tab w:val="left" w:pos="0"/>
        </w:tabs>
        <w:rPr>
          <w:rFonts w:ascii="Calibri" w:hAnsi="Calibri" w:cs="Arial"/>
          <w:color w:val="auto"/>
          <w:sz w:val="22"/>
          <w:szCs w:val="22"/>
        </w:rPr>
      </w:pPr>
      <w:r w:rsidRPr="002210AC">
        <w:rPr>
          <w:rFonts w:ascii="Calibri" w:hAnsi="Calibri" w:cs="Arial"/>
          <w:color w:val="auto"/>
          <w:sz w:val="22"/>
          <w:szCs w:val="22"/>
        </w:rPr>
        <w:t>Publicity strategy</w:t>
      </w:r>
    </w:p>
    <w:p w:rsidR="00665C30" w:rsidRPr="00665C30" w:rsidRDefault="00665C30" w:rsidP="00665C30"/>
    <w:p w:rsidR="00F30D9C" w:rsidRPr="002210AC" w:rsidRDefault="00F30D9C">
      <w:pPr>
        <w:jc w:val="both"/>
        <w:rPr>
          <w:rFonts w:ascii="Calibri" w:hAnsi="Calibri" w:cs="Arial"/>
          <w:sz w:val="22"/>
          <w:szCs w:val="22"/>
        </w:rPr>
      </w:pPr>
      <w:r w:rsidRPr="002210AC">
        <w:rPr>
          <w:rFonts w:ascii="Calibri" w:hAnsi="Calibri" w:cs="Arial"/>
          <w:sz w:val="22"/>
          <w:szCs w:val="22"/>
        </w:rPr>
        <w:t>The Trust will endeavour to publicise its grant giving activities, to all sections of the community. Such activities are written in to the</w:t>
      </w:r>
      <w:r w:rsidR="007D2D2F" w:rsidRPr="002210AC">
        <w:rPr>
          <w:rFonts w:ascii="Calibri" w:hAnsi="Calibri" w:cs="Arial"/>
          <w:sz w:val="22"/>
          <w:szCs w:val="22"/>
        </w:rPr>
        <w:t xml:space="preserve"> Manager’s </w:t>
      </w:r>
      <w:r w:rsidRPr="002210AC">
        <w:rPr>
          <w:rFonts w:ascii="Calibri" w:hAnsi="Calibri" w:cs="Arial"/>
          <w:sz w:val="22"/>
          <w:szCs w:val="22"/>
        </w:rPr>
        <w:t>job description and are allowed for in the expenditure budget. Publicity strategies include issuing a press release to the local press and media contacts, publishing articles on the website, including information in the Annual Report.</w:t>
      </w:r>
    </w:p>
    <w:p w:rsidR="00F30D9C" w:rsidRPr="002210AC" w:rsidRDefault="00F30D9C">
      <w:pPr>
        <w:jc w:val="both"/>
        <w:rPr>
          <w:rFonts w:ascii="Calibri" w:hAnsi="Calibri" w:cs="Arial"/>
          <w:sz w:val="22"/>
          <w:szCs w:val="22"/>
        </w:rPr>
      </w:pPr>
    </w:p>
    <w:p w:rsidR="00F30D9C" w:rsidRDefault="00F30D9C">
      <w:pPr>
        <w:pStyle w:val="Heading3"/>
        <w:tabs>
          <w:tab w:val="left" w:pos="0"/>
        </w:tabs>
        <w:rPr>
          <w:rFonts w:ascii="Calibri" w:hAnsi="Calibri" w:cs="Arial"/>
          <w:color w:val="auto"/>
          <w:sz w:val="22"/>
          <w:szCs w:val="22"/>
        </w:rPr>
      </w:pPr>
      <w:r w:rsidRPr="002210AC">
        <w:rPr>
          <w:rFonts w:ascii="Calibri" w:hAnsi="Calibri" w:cs="Arial"/>
          <w:color w:val="auto"/>
          <w:sz w:val="22"/>
          <w:szCs w:val="22"/>
        </w:rPr>
        <w:t>The Grants Committee</w:t>
      </w:r>
    </w:p>
    <w:p w:rsidR="00665C30" w:rsidRPr="00665C30" w:rsidRDefault="00665C30" w:rsidP="00665C30"/>
    <w:p w:rsidR="00F30D9C" w:rsidRPr="002210AC" w:rsidRDefault="00F30D9C">
      <w:pPr>
        <w:pStyle w:val="BodyText3"/>
        <w:rPr>
          <w:rFonts w:ascii="Calibri" w:hAnsi="Calibri" w:cs="Arial"/>
          <w:color w:val="auto"/>
          <w:sz w:val="22"/>
          <w:szCs w:val="22"/>
        </w:rPr>
      </w:pPr>
      <w:r w:rsidRPr="002210AC">
        <w:rPr>
          <w:rFonts w:ascii="Calibri" w:hAnsi="Calibri" w:cs="Arial"/>
          <w:color w:val="auto"/>
          <w:sz w:val="22"/>
          <w:szCs w:val="22"/>
        </w:rPr>
        <w:t>Core members are delegated trustees with other people co-opted to the committee because of their specific knowledge and skills at the discretion of the trustee members of the committee.  Non trustee members of the Grants Committee are potentially subject to approval and affirmation by the main board of trustees.   The trustee members of the Grants Committee appoint the chair.</w:t>
      </w:r>
    </w:p>
    <w:p w:rsidR="00F30D9C" w:rsidRPr="002210AC" w:rsidRDefault="00F30D9C">
      <w:pPr>
        <w:pStyle w:val="BodyText"/>
        <w:rPr>
          <w:rFonts w:ascii="Calibri" w:hAnsi="Calibri" w:cs="Arial"/>
          <w:b/>
          <w:sz w:val="22"/>
          <w:szCs w:val="22"/>
        </w:rPr>
      </w:pPr>
    </w:p>
    <w:p w:rsidR="00F30D9C" w:rsidRDefault="00F30D9C">
      <w:pPr>
        <w:pStyle w:val="BodyText"/>
        <w:rPr>
          <w:rFonts w:ascii="Calibri" w:hAnsi="Calibri" w:cs="Arial"/>
          <w:b/>
          <w:sz w:val="22"/>
          <w:szCs w:val="22"/>
        </w:rPr>
      </w:pPr>
      <w:r w:rsidRPr="002210AC">
        <w:rPr>
          <w:rFonts w:ascii="Calibri" w:hAnsi="Calibri" w:cs="Arial"/>
          <w:b/>
          <w:sz w:val="22"/>
          <w:szCs w:val="22"/>
        </w:rPr>
        <w:t>Grant making procedure</w:t>
      </w:r>
    </w:p>
    <w:p w:rsidR="00665C30" w:rsidRPr="002210AC" w:rsidRDefault="00665C30">
      <w:pPr>
        <w:pStyle w:val="BodyText"/>
        <w:rPr>
          <w:rFonts w:ascii="Calibri" w:hAnsi="Calibri" w:cs="Arial"/>
          <w:b/>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 xml:space="preserve">Grant meetings are held approximately every three months and these dates are published on the website </w:t>
      </w:r>
      <w:hyperlink r:id="rId10" w:history="1">
        <w:r w:rsidR="007D2D2F" w:rsidRPr="002210AC">
          <w:rPr>
            <w:rStyle w:val="Hyperlink"/>
            <w:rFonts w:ascii="Calibri" w:hAnsi="Calibri" w:cs="Arial"/>
            <w:sz w:val="22"/>
            <w:szCs w:val="22"/>
          </w:rPr>
          <w:t>www.stevenagecommunitytrust.org</w:t>
        </w:r>
      </w:hyperlink>
      <w:r w:rsidR="007D2D2F" w:rsidRPr="002210AC">
        <w:rPr>
          <w:rFonts w:ascii="Calibri" w:hAnsi="Calibri" w:cs="Arial"/>
          <w:sz w:val="22"/>
          <w:szCs w:val="22"/>
        </w:rPr>
        <w:t xml:space="preserve"> </w:t>
      </w:r>
    </w:p>
    <w:p w:rsidR="00F30D9C" w:rsidRPr="00665C30" w:rsidRDefault="00F30D9C">
      <w:pPr>
        <w:pStyle w:val="BodyText"/>
        <w:rPr>
          <w:rFonts w:ascii="Calibri" w:hAnsi="Calibri" w:cs="Arial"/>
          <w:color w:val="FF0000"/>
          <w:sz w:val="22"/>
          <w:szCs w:val="22"/>
        </w:rPr>
      </w:pPr>
    </w:p>
    <w:p w:rsidR="00F30D9C" w:rsidRPr="00665C30" w:rsidRDefault="00F30D9C">
      <w:pPr>
        <w:pStyle w:val="BodyText"/>
        <w:rPr>
          <w:rFonts w:ascii="Calibri" w:hAnsi="Calibri" w:cs="Arial"/>
          <w:sz w:val="22"/>
          <w:szCs w:val="22"/>
        </w:rPr>
      </w:pPr>
      <w:r w:rsidRPr="00665C30">
        <w:rPr>
          <w:rFonts w:ascii="Calibri" w:hAnsi="Calibri" w:cs="Arial"/>
          <w:sz w:val="22"/>
          <w:szCs w:val="22"/>
        </w:rPr>
        <w:t xml:space="preserve">A quorum for the Grants Committee shall be three trustees. </w:t>
      </w:r>
      <w:r w:rsidR="007D2D2F" w:rsidRPr="00665C30">
        <w:rPr>
          <w:rFonts w:ascii="Calibri" w:hAnsi="Calibri" w:cs="Arial"/>
          <w:sz w:val="22"/>
          <w:szCs w:val="22"/>
        </w:rPr>
        <w:t>Persons co-</w:t>
      </w:r>
      <w:r w:rsidR="008B74EA" w:rsidRPr="00665C30">
        <w:rPr>
          <w:rFonts w:ascii="Calibri" w:hAnsi="Calibri" w:cs="Arial"/>
          <w:sz w:val="22"/>
          <w:szCs w:val="22"/>
        </w:rPr>
        <w:t>opted onto the Grants Committee do not form part of the quorum.</w:t>
      </w:r>
    </w:p>
    <w:p w:rsidR="00F30D9C" w:rsidRPr="002210AC" w:rsidRDefault="00F30D9C">
      <w:pPr>
        <w:pStyle w:val="BodyText"/>
        <w:rPr>
          <w:rFonts w:ascii="Calibri" w:hAnsi="Calibri" w:cs="Arial"/>
          <w:b/>
          <w:sz w:val="22"/>
          <w:szCs w:val="22"/>
        </w:rPr>
      </w:pPr>
    </w:p>
    <w:p w:rsidR="00F30D9C" w:rsidRPr="00665C30" w:rsidRDefault="00F30D9C">
      <w:pPr>
        <w:pStyle w:val="BodyText"/>
        <w:rPr>
          <w:rFonts w:ascii="Calibri" w:hAnsi="Calibri" w:cs="Arial"/>
          <w:sz w:val="22"/>
          <w:szCs w:val="22"/>
        </w:rPr>
      </w:pPr>
      <w:r w:rsidRPr="00665C30">
        <w:rPr>
          <w:rFonts w:ascii="Calibri" w:hAnsi="Calibri" w:cs="Arial"/>
          <w:sz w:val="22"/>
          <w:szCs w:val="22"/>
        </w:rPr>
        <w:t>The</w:t>
      </w:r>
      <w:r w:rsidR="007D2D2F" w:rsidRPr="00665C30">
        <w:rPr>
          <w:rFonts w:ascii="Calibri" w:hAnsi="Calibri" w:cs="Arial"/>
          <w:sz w:val="22"/>
          <w:szCs w:val="22"/>
        </w:rPr>
        <w:t xml:space="preserve"> Manager </w:t>
      </w:r>
      <w:r w:rsidRPr="00665C30">
        <w:rPr>
          <w:rFonts w:ascii="Calibri" w:hAnsi="Calibri" w:cs="Arial"/>
          <w:sz w:val="22"/>
          <w:szCs w:val="22"/>
        </w:rPr>
        <w:t>will collate all grant requests, chase up any outstanding queries, where considered appropriate,</w:t>
      </w:r>
      <w:r w:rsidRPr="00665C30">
        <w:rPr>
          <w:rFonts w:ascii="Calibri" w:hAnsi="Calibri" w:cs="Arial"/>
          <w:i/>
          <w:sz w:val="22"/>
          <w:szCs w:val="22"/>
        </w:rPr>
        <w:t xml:space="preserve"> </w:t>
      </w:r>
      <w:r w:rsidRPr="00665C30">
        <w:rPr>
          <w:rFonts w:ascii="Calibri" w:hAnsi="Calibri" w:cs="Arial"/>
          <w:sz w:val="22"/>
          <w:szCs w:val="22"/>
        </w:rPr>
        <w:t>and circulate a summary to all the committee prior to the meeting.   The</w:t>
      </w:r>
      <w:r w:rsidR="007D2D2F" w:rsidRPr="00665C30">
        <w:rPr>
          <w:rFonts w:ascii="Calibri" w:hAnsi="Calibri" w:cs="Arial"/>
          <w:sz w:val="22"/>
          <w:szCs w:val="22"/>
        </w:rPr>
        <w:t xml:space="preserve"> Manager </w:t>
      </w:r>
      <w:r w:rsidRPr="00665C30">
        <w:rPr>
          <w:rFonts w:ascii="Calibri" w:hAnsi="Calibri" w:cs="Arial"/>
          <w:sz w:val="22"/>
          <w:szCs w:val="22"/>
        </w:rPr>
        <w:t>will then bring to the meeting all the relevant paperwork appertaining to the grants.</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 xml:space="preserve">Where applicants are individuals the Trust will ask </w:t>
      </w:r>
      <w:r w:rsidR="005B0AD2" w:rsidRPr="002210AC">
        <w:rPr>
          <w:rFonts w:ascii="Calibri" w:hAnsi="Calibri" w:cs="Arial"/>
          <w:sz w:val="22"/>
          <w:szCs w:val="22"/>
        </w:rPr>
        <w:t>(</w:t>
      </w:r>
      <w:r w:rsidRPr="002210AC">
        <w:rPr>
          <w:rFonts w:ascii="Calibri" w:hAnsi="Calibri" w:cs="Arial"/>
          <w:sz w:val="22"/>
          <w:szCs w:val="22"/>
        </w:rPr>
        <w:t>if possible</w:t>
      </w:r>
      <w:r w:rsidR="005B0AD2" w:rsidRPr="002210AC">
        <w:rPr>
          <w:rFonts w:ascii="Calibri" w:hAnsi="Calibri" w:cs="Arial"/>
          <w:sz w:val="22"/>
          <w:szCs w:val="22"/>
        </w:rPr>
        <w:t>)</w:t>
      </w:r>
      <w:r w:rsidRPr="002210AC">
        <w:rPr>
          <w:rFonts w:ascii="Calibri" w:hAnsi="Calibri" w:cs="Arial"/>
          <w:sz w:val="22"/>
          <w:szCs w:val="22"/>
        </w:rPr>
        <w:t xml:space="preserve"> for the application to be supported by a doctor, social worker, CAB, or some other authoritative source.</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 xml:space="preserve">Where the applicant is an organisation they will be asked to provide their latest set of </w:t>
      </w:r>
      <w:r w:rsidR="00632125" w:rsidRPr="002210AC">
        <w:rPr>
          <w:rFonts w:ascii="Calibri" w:hAnsi="Calibri" w:cs="Arial"/>
          <w:sz w:val="22"/>
          <w:szCs w:val="22"/>
        </w:rPr>
        <w:t>accounts</w:t>
      </w:r>
      <w:r w:rsidRPr="002210AC">
        <w:rPr>
          <w:rFonts w:ascii="Calibri" w:hAnsi="Calibri" w:cs="Arial"/>
          <w:sz w:val="22"/>
          <w:szCs w:val="22"/>
        </w:rPr>
        <w:t xml:space="preserve"> or in the case of new organisations a copy of their bank </w:t>
      </w:r>
      <w:r w:rsidR="00992470">
        <w:rPr>
          <w:rFonts w:ascii="Calibri" w:hAnsi="Calibri" w:cs="Arial"/>
          <w:sz w:val="22"/>
          <w:szCs w:val="22"/>
        </w:rPr>
        <w:t>statement</w:t>
      </w:r>
      <w:r w:rsidRPr="002210AC">
        <w:rPr>
          <w:rFonts w:ascii="Calibri" w:hAnsi="Calibri" w:cs="Arial"/>
          <w:sz w:val="22"/>
          <w:szCs w:val="22"/>
        </w:rPr>
        <w:t>. Organisations do not have to be registered as charities to be eligible but the Trust must assure itself that their objec</w:t>
      </w:r>
      <w:r w:rsidR="007D2D2F" w:rsidRPr="002210AC">
        <w:rPr>
          <w:rFonts w:ascii="Calibri" w:hAnsi="Calibri" w:cs="Arial"/>
          <w:sz w:val="22"/>
          <w:szCs w:val="22"/>
        </w:rPr>
        <w:t>tives</w:t>
      </w:r>
      <w:r w:rsidRPr="002210AC">
        <w:rPr>
          <w:rFonts w:ascii="Calibri" w:hAnsi="Calibri" w:cs="Arial"/>
          <w:sz w:val="22"/>
          <w:szCs w:val="22"/>
        </w:rPr>
        <w:t xml:space="preserve"> are charitable. The Trust may seek further evidence of good governance.</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Whether from an individual or an organisation, an application for the cost of equipment or installation must be accompanied by estimates of the costs provided by the prospective supplier or contractor.</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lastRenderedPageBreak/>
        <w:t xml:space="preserve">Prior to the consideration of an application, or afterwards at the request of the committee the </w:t>
      </w:r>
      <w:r w:rsidR="007D2D2F" w:rsidRPr="002210AC">
        <w:rPr>
          <w:rFonts w:ascii="Calibri" w:hAnsi="Calibri" w:cs="Arial"/>
          <w:sz w:val="22"/>
          <w:szCs w:val="22"/>
        </w:rPr>
        <w:t xml:space="preserve">Manager </w:t>
      </w:r>
      <w:r w:rsidRPr="002210AC">
        <w:rPr>
          <w:rFonts w:ascii="Calibri" w:hAnsi="Calibri" w:cs="Arial"/>
          <w:sz w:val="22"/>
          <w:szCs w:val="22"/>
        </w:rPr>
        <w:t xml:space="preserve">may make further enquiries of or about an applicant; to assist the committee in reaching a decision. </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Where there are doubts about the eligibility of an application, the application</w:t>
      </w:r>
      <w:r w:rsidR="007D2D2F" w:rsidRPr="002210AC">
        <w:rPr>
          <w:rFonts w:ascii="Calibri" w:hAnsi="Calibri" w:cs="Arial"/>
          <w:sz w:val="22"/>
          <w:szCs w:val="22"/>
        </w:rPr>
        <w:t xml:space="preserve"> </w:t>
      </w:r>
      <w:r w:rsidR="005B0AD2" w:rsidRPr="002210AC">
        <w:rPr>
          <w:rFonts w:ascii="Calibri" w:hAnsi="Calibri" w:cs="Arial"/>
          <w:sz w:val="22"/>
          <w:szCs w:val="22"/>
        </w:rPr>
        <w:t>may</w:t>
      </w:r>
      <w:r w:rsidRPr="002210AC">
        <w:rPr>
          <w:rFonts w:ascii="Calibri" w:hAnsi="Calibri" w:cs="Arial"/>
          <w:sz w:val="22"/>
          <w:szCs w:val="22"/>
        </w:rPr>
        <w:t>, nonetheless, be presented to the Grants Committee for its decision about eligibility.</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All applications eligible for grants will be presented to a quorate meeting of the Grants Committee, and each will be considered and a decision reached in each case unless further information is required from the applicant, or unless the views of Trustees need to be sought. In these latter cases the</w:t>
      </w:r>
      <w:r w:rsidR="007D2D2F" w:rsidRPr="002210AC">
        <w:rPr>
          <w:rFonts w:ascii="Calibri" w:hAnsi="Calibri" w:cs="Arial"/>
          <w:sz w:val="22"/>
          <w:szCs w:val="22"/>
        </w:rPr>
        <w:t xml:space="preserve"> Manager </w:t>
      </w:r>
      <w:r w:rsidRPr="002210AC">
        <w:rPr>
          <w:rFonts w:ascii="Calibri" w:hAnsi="Calibri" w:cs="Arial"/>
          <w:sz w:val="22"/>
          <w:szCs w:val="22"/>
        </w:rPr>
        <w:t>may be mandated to act conditional upon further information received or upon the</w:t>
      </w:r>
      <w:r w:rsidR="007D2D2F" w:rsidRPr="002210AC">
        <w:rPr>
          <w:rFonts w:ascii="Calibri" w:hAnsi="Calibri" w:cs="Arial"/>
          <w:sz w:val="22"/>
          <w:szCs w:val="22"/>
        </w:rPr>
        <w:t xml:space="preserve"> Trustees’ </w:t>
      </w:r>
      <w:r w:rsidR="003416A1" w:rsidRPr="002210AC">
        <w:rPr>
          <w:rFonts w:ascii="Calibri" w:hAnsi="Calibri" w:cs="Arial"/>
          <w:sz w:val="22"/>
          <w:szCs w:val="22"/>
        </w:rPr>
        <w:t>decision</w:t>
      </w:r>
      <w:r w:rsidRPr="002210AC">
        <w:rPr>
          <w:rFonts w:ascii="Calibri" w:hAnsi="Calibri" w:cs="Arial"/>
          <w:sz w:val="22"/>
          <w:szCs w:val="22"/>
        </w:rPr>
        <w:t xml:space="preserve"> or the application will be reconsidered at a further Grants Committee meeting or dealt with using the urgent requests procedure (below). </w:t>
      </w:r>
    </w:p>
    <w:p w:rsidR="00F30D9C" w:rsidRPr="002210AC" w:rsidRDefault="00F30D9C">
      <w:pPr>
        <w:pStyle w:val="BodyText"/>
        <w:rPr>
          <w:rFonts w:ascii="Calibri" w:hAnsi="Calibri" w:cs="Arial"/>
          <w:sz w:val="22"/>
          <w:szCs w:val="22"/>
        </w:rPr>
      </w:pPr>
    </w:p>
    <w:p w:rsidR="00F30D9C" w:rsidRPr="002210AC" w:rsidRDefault="00F30D9C">
      <w:pPr>
        <w:jc w:val="both"/>
        <w:rPr>
          <w:rFonts w:ascii="Calibri" w:hAnsi="Calibri" w:cs="Arial"/>
          <w:sz w:val="22"/>
          <w:szCs w:val="22"/>
        </w:rPr>
      </w:pPr>
      <w:r w:rsidRPr="002210AC">
        <w:rPr>
          <w:rFonts w:ascii="Calibri" w:hAnsi="Calibri" w:cs="Arial"/>
          <w:sz w:val="22"/>
          <w:szCs w:val="22"/>
        </w:rPr>
        <w:t>The success of the application will depend upon:</w:t>
      </w:r>
    </w:p>
    <w:p w:rsidR="00F30D9C" w:rsidRPr="002210AC" w:rsidRDefault="00F30D9C">
      <w:pPr>
        <w:numPr>
          <w:ilvl w:val="0"/>
          <w:numId w:val="3"/>
        </w:numPr>
        <w:tabs>
          <w:tab w:val="left" w:pos="1440"/>
        </w:tabs>
        <w:jc w:val="both"/>
        <w:rPr>
          <w:rFonts w:ascii="Calibri" w:hAnsi="Calibri" w:cs="Arial"/>
          <w:i/>
          <w:sz w:val="22"/>
          <w:szCs w:val="22"/>
        </w:rPr>
      </w:pPr>
      <w:r w:rsidRPr="002210AC">
        <w:rPr>
          <w:rFonts w:ascii="Calibri" w:hAnsi="Calibri" w:cs="Arial"/>
          <w:i/>
          <w:sz w:val="22"/>
          <w:szCs w:val="22"/>
        </w:rPr>
        <w:t>the amount of money available (there is a limited amount of money available</w:t>
      </w:r>
      <w:r w:rsidR="00917393" w:rsidRPr="002210AC">
        <w:rPr>
          <w:rFonts w:ascii="Calibri" w:hAnsi="Calibri" w:cs="Arial"/>
          <w:i/>
          <w:sz w:val="22"/>
          <w:szCs w:val="22"/>
        </w:rPr>
        <w:t>.</w:t>
      </w:r>
      <w:r w:rsidR="007D2D2F" w:rsidRPr="002210AC">
        <w:rPr>
          <w:rFonts w:ascii="Calibri" w:hAnsi="Calibri" w:cs="Arial"/>
          <w:i/>
          <w:sz w:val="22"/>
          <w:szCs w:val="22"/>
        </w:rPr>
        <w:t xml:space="preserve"> </w:t>
      </w:r>
      <w:r w:rsidR="00917393" w:rsidRPr="002210AC">
        <w:rPr>
          <w:rFonts w:ascii="Calibri" w:hAnsi="Calibri" w:cs="Arial"/>
          <w:i/>
          <w:sz w:val="22"/>
          <w:szCs w:val="22"/>
        </w:rPr>
        <w:t>The total annual amount available is determined each year by the Board of Trustees</w:t>
      </w:r>
      <w:r w:rsidRPr="002210AC">
        <w:rPr>
          <w:rFonts w:ascii="Calibri" w:hAnsi="Calibri" w:cs="Arial"/>
          <w:i/>
          <w:sz w:val="22"/>
          <w:szCs w:val="22"/>
        </w:rPr>
        <w:t>.  The maximum grant that can be allocated by the Grants Committee is £</w:t>
      </w:r>
      <w:r w:rsidR="00D122E4">
        <w:rPr>
          <w:rFonts w:ascii="Calibri" w:hAnsi="Calibri" w:cs="Arial"/>
          <w:i/>
          <w:sz w:val="22"/>
          <w:szCs w:val="22"/>
        </w:rPr>
        <w:t>5</w:t>
      </w:r>
      <w:r w:rsidRPr="002210AC">
        <w:rPr>
          <w:rFonts w:ascii="Calibri" w:hAnsi="Calibri" w:cs="Arial"/>
          <w:i/>
          <w:sz w:val="22"/>
          <w:szCs w:val="22"/>
        </w:rPr>
        <w:t>000 but the majority of grants are for smaller amounts).</w:t>
      </w:r>
    </w:p>
    <w:p w:rsidR="00F30D9C" w:rsidRPr="002210AC" w:rsidRDefault="00F30D9C">
      <w:pPr>
        <w:numPr>
          <w:ilvl w:val="0"/>
          <w:numId w:val="3"/>
        </w:numPr>
        <w:tabs>
          <w:tab w:val="left" w:pos="1440"/>
        </w:tabs>
        <w:jc w:val="both"/>
        <w:rPr>
          <w:rFonts w:ascii="Calibri" w:hAnsi="Calibri" w:cs="Arial"/>
          <w:i/>
          <w:sz w:val="22"/>
          <w:szCs w:val="22"/>
        </w:rPr>
      </w:pPr>
      <w:r w:rsidRPr="002210AC">
        <w:rPr>
          <w:rFonts w:ascii="Calibri" w:hAnsi="Calibri" w:cs="Arial"/>
          <w:i/>
          <w:sz w:val="22"/>
          <w:szCs w:val="22"/>
        </w:rPr>
        <w:t>whether the application meets the Trust’s criteria</w:t>
      </w:r>
      <w:r w:rsidR="00992470">
        <w:rPr>
          <w:rFonts w:ascii="Calibri" w:hAnsi="Calibri" w:cs="Arial"/>
          <w:i/>
          <w:sz w:val="22"/>
          <w:szCs w:val="22"/>
        </w:rPr>
        <w:t>.</w:t>
      </w:r>
    </w:p>
    <w:p w:rsidR="00F30D9C" w:rsidRPr="002210AC" w:rsidRDefault="00917393">
      <w:pPr>
        <w:numPr>
          <w:ilvl w:val="0"/>
          <w:numId w:val="3"/>
        </w:numPr>
        <w:tabs>
          <w:tab w:val="left" w:pos="1440"/>
        </w:tabs>
        <w:jc w:val="both"/>
        <w:rPr>
          <w:rFonts w:ascii="Calibri" w:hAnsi="Calibri" w:cs="Arial"/>
          <w:i/>
          <w:sz w:val="22"/>
          <w:szCs w:val="22"/>
        </w:rPr>
      </w:pPr>
      <w:r w:rsidRPr="002210AC">
        <w:rPr>
          <w:rFonts w:ascii="Calibri" w:hAnsi="Calibri" w:cs="Arial"/>
          <w:i/>
          <w:sz w:val="22"/>
          <w:szCs w:val="22"/>
        </w:rPr>
        <w:t>the priority given to the application relative to other applications received</w:t>
      </w:r>
      <w:r w:rsidR="00992470">
        <w:rPr>
          <w:rFonts w:ascii="Calibri" w:hAnsi="Calibri" w:cs="Arial"/>
          <w:i/>
          <w:sz w:val="22"/>
          <w:szCs w:val="22"/>
        </w:rPr>
        <w:t>.</w:t>
      </w:r>
    </w:p>
    <w:p w:rsidR="00F30D9C" w:rsidRPr="002210AC" w:rsidRDefault="00F30D9C">
      <w:pPr>
        <w:numPr>
          <w:ilvl w:val="0"/>
          <w:numId w:val="3"/>
        </w:numPr>
        <w:tabs>
          <w:tab w:val="left" w:pos="1440"/>
        </w:tabs>
        <w:jc w:val="both"/>
        <w:rPr>
          <w:rFonts w:ascii="Calibri" w:hAnsi="Calibri" w:cs="Arial"/>
          <w:i/>
          <w:sz w:val="22"/>
          <w:szCs w:val="22"/>
        </w:rPr>
      </w:pPr>
      <w:r w:rsidRPr="002210AC">
        <w:rPr>
          <w:rFonts w:ascii="Calibri" w:hAnsi="Calibri" w:cs="Arial"/>
          <w:i/>
          <w:sz w:val="22"/>
          <w:szCs w:val="22"/>
        </w:rPr>
        <w:t>whether the application needs to be taken to a full Board Meeting for consideratio</w:t>
      </w:r>
      <w:r w:rsidR="00992470">
        <w:rPr>
          <w:rFonts w:ascii="Calibri" w:hAnsi="Calibri" w:cs="Arial"/>
          <w:i/>
          <w:sz w:val="22"/>
          <w:szCs w:val="22"/>
        </w:rPr>
        <w:t>n. A</w:t>
      </w:r>
      <w:r w:rsidRPr="002210AC">
        <w:rPr>
          <w:rFonts w:ascii="Calibri" w:hAnsi="Calibri" w:cs="Arial"/>
          <w:i/>
          <w:sz w:val="22"/>
          <w:szCs w:val="22"/>
        </w:rPr>
        <w:t>pplications in excess of £</w:t>
      </w:r>
      <w:r w:rsidR="00D122E4">
        <w:rPr>
          <w:rFonts w:ascii="Calibri" w:hAnsi="Calibri" w:cs="Arial"/>
          <w:i/>
          <w:sz w:val="22"/>
          <w:szCs w:val="22"/>
        </w:rPr>
        <w:t>5</w:t>
      </w:r>
      <w:r w:rsidRPr="002210AC">
        <w:rPr>
          <w:rFonts w:ascii="Calibri" w:hAnsi="Calibri" w:cs="Arial"/>
          <w:i/>
          <w:sz w:val="22"/>
          <w:szCs w:val="22"/>
        </w:rPr>
        <w:t>,000 will be considered by the Trustees as a whole</w:t>
      </w:r>
      <w:r w:rsidR="00992470">
        <w:rPr>
          <w:rFonts w:ascii="Calibri" w:hAnsi="Calibri" w:cs="Arial"/>
          <w:i/>
          <w:sz w:val="22"/>
          <w:szCs w:val="22"/>
        </w:rPr>
        <w:t>.</w:t>
      </w:r>
    </w:p>
    <w:p w:rsidR="00F30D9C" w:rsidRPr="002210AC" w:rsidRDefault="00F30D9C">
      <w:pPr>
        <w:pStyle w:val="BodyText"/>
        <w:rPr>
          <w:rFonts w:ascii="Calibri" w:hAnsi="Calibri" w:cs="Arial"/>
          <w:sz w:val="22"/>
          <w:szCs w:val="22"/>
        </w:rPr>
      </w:pPr>
      <w:r w:rsidRPr="002210AC">
        <w:rPr>
          <w:rFonts w:ascii="Calibri" w:hAnsi="Calibri" w:cs="Arial"/>
          <w:sz w:val="22"/>
          <w:szCs w:val="22"/>
        </w:rPr>
        <w:t>The limit of £</w:t>
      </w:r>
      <w:r w:rsidR="00D122E4">
        <w:rPr>
          <w:rFonts w:ascii="Calibri" w:hAnsi="Calibri" w:cs="Arial"/>
          <w:sz w:val="22"/>
          <w:szCs w:val="22"/>
        </w:rPr>
        <w:t>5</w:t>
      </w:r>
      <w:r w:rsidRPr="002210AC">
        <w:rPr>
          <w:rFonts w:ascii="Calibri" w:hAnsi="Calibri" w:cs="Arial"/>
          <w:sz w:val="22"/>
          <w:szCs w:val="22"/>
        </w:rPr>
        <w:t>,000 may be revised by the Trustees at a later date.</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In the event of an urgent request (usually for case of dire need, or for an application which has taken a long time to process) the</w:t>
      </w:r>
      <w:r w:rsidR="007D2D2F" w:rsidRPr="002210AC">
        <w:rPr>
          <w:rFonts w:ascii="Calibri" w:hAnsi="Calibri" w:cs="Arial"/>
          <w:sz w:val="22"/>
          <w:szCs w:val="22"/>
        </w:rPr>
        <w:t xml:space="preserve"> Manager </w:t>
      </w:r>
      <w:r w:rsidRPr="002210AC">
        <w:rPr>
          <w:rFonts w:ascii="Calibri" w:hAnsi="Calibri" w:cs="Arial"/>
          <w:sz w:val="22"/>
          <w:szCs w:val="22"/>
        </w:rPr>
        <w:t>will cascade the information by email to the Grant Committee and upon receipt of three approvals the grant will be released.</w:t>
      </w:r>
      <w:r w:rsidR="00D122E4">
        <w:rPr>
          <w:rFonts w:ascii="Calibri" w:hAnsi="Calibri" w:cs="Arial"/>
          <w:sz w:val="22"/>
          <w:szCs w:val="22"/>
        </w:rPr>
        <w:t xml:space="preserve">  In the event of applications for sums under £300 at the discretion of the Manager </w:t>
      </w:r>
      <w:r w:rsidR="004540C7">
        <w:rPr>
          <w:rFonts w:ascii="Calibri" w:hAnsi="Calibri" w:cs="Arial"/>
          <w:sz w:val="22"/>
          <w:szCs w:val="22"/>
        </w:rPr>
        <w:t xml:space="preserve">grants can be made without emailing the Grant Committee.   </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The minutes of the meeting are distributed with a list of recent grants given.  The grants given are added to the rolling database.  The Board of Trustees receives an update of monies spent at each meeting.</w:t>
      </w:r>
    </w:p>
    <w:p w:rsidR="00F30D9C" w:rsidRPr="002210AC" w:rsidRDefault="00F30D9C">
      <w:pPr>
        <w:pStyle w:val="BodyText"/>
        <w:rPr>
          <w:rFonts w:ascii="Calibri" w:hAnsi="Calibri" w:cs="Arial"/>
          <w:sz w:val="22"/>
          <w:szCs w:val="22"/>
        </w:rPr>
      </w:pPr>
    </w:p>
    <w:p w:rsidR="00F30D9C" w:rsidRPr="002210AC" w:rsidRDefault="00F30D9C">
      <w:pPr>
        <w:jc w:val="both"/>
        <w:rPr>
          <w:rFonts w:ascii="Calibri" w:hAnsi="Calibri" w:cs="Arial"/>
          <w:sz w:val="22"/>
          <w:szCs w:val="22"/>
        </w:rPr>
      </w:pPr>
      <w:r w:rsidRPr="002210AC">
        <w:rPr>
          <w:rFonts w:ascii="Calibri" w:hAnsi="Calibri" w:cs="Arial"/>
          <w:sz w:val="22"/>
          <w:szCs w:val="22"/>
        </w:rPr>
        <w:t>The Grants Committee may make awards as follows:</w:t>
      </w:r>
    </w:p>
    <w:p w:rsidR="00F30D9C" w:rsidRPr="002210AC" w:rsidRDefault="00F30D9C">
      <w:pPr>
        <w:jc w:val="both"/>
        <w:rPr>
          <w:rFonts w:ascii="Calibri" w:hAnsi="Calibri" w:cs="Arial"/>
          <w:sz w:val="22"/>
          <w:szCs w:val="22"/>
        </w:rPr>
      </w:pPr>
    </w:p>
    <w:p w:rsidR="00F30D9C" w:rsidRPr="002210AC" w:rsidRDefault="00F30D9C">
      <w:pPr>
        <w:numPr>
          <w:ilvl w:val="0"/>
          <w:numId w:val="5"/>
        </w:numPr>
        <w:tabs>
          <w:tab w:val="left" w:pos="360"/>
        </w:tabs>
        <w:jc w:val="both"/>
        <w:rPr>
          <w:rFonts w:ascii="Calibri" w:hAnsi="Calibri" w:cs="Arial"/>
          <w:sz w:val="22"/>
          <w:szCs w:val="22"/>
        </w:rPr>
      </w:pPr>
      <w:r w:rsidRPr="002210AC">
        <w:rPr>
          <w:rFonts w:ascii="Calibri" w:hAnsi="Calibri" w:cs="Arial"/>
          <w:sz w:val="22"/>
          <w:szCs w:val="22"/>
        </w:rPr>
        <w:t>Direct cash grant</w:t>
      </w:r>
    </w:p>
    <w:p w:rsidR="00F30D9C" w:rsidRPr="002210AC" w:rsidRDefault="00F30D9C">
      <w:pPr>
        <w:numPr>
          <w:ilvl w:val="0"/>
          <w:numId w:val="5"/>
        </w:numPr>
        <w:tabs>
          <w:tab w:val="left" w:pos="360"/>
        </w:tabs>
        <w:jc w:val="both"/>
        <w:rPr>
          <w:rFonts w:ascii="Calibri" w:hAnsi="Calibri" w:cs="Arial"/>
          <w:sz w:val="22"/>
          <w:szCs w:val="22"/>
        </w:rPr>
      </w:pPr>
      <w:r w:rsidRPr="002210AC">
        <w:rPr>
          <w:rFonts w:ascii="Calibri" w:hAnsi="Calibri" w:cs="Arial"/>
          <w:sz w:val="22"/>
          <w:szCs w:val="22"/>
        </w:rPr>
        <w:t xml:space="preserve">Purchase of equipment </w:t>
      </w:r>
    </w:p>
    <w:p w:rsidR="00F30D9C" w:rsidRPr="002210AC" w:rsidRDefault="00F30D9C">
      <w:pPr>
        <w:numPr>
          <w:ilvl w:val="0"/>
          <w:numId w:val="5"/>
        </w:numPr>
        <w:tabs>
          <w:tab w:val="left" w:pos="360"/>
        </w:tabs>
        <w:jc w:val="both"/>
        <w:rPr>
          <w:rFonts w:ascii="Calibri" w:hAnsi="Calibri" w:cs="Arial"/>
          <w:sz w:val="22"/>
          <w:szCs w:val="22"/>
        </w:rPr>
      </w:pPr>
      <w:r w:rsidRPr="002210AC">
        <w:rPr>
          <w:rFonts w:ascii="Calibri" w:hAnsi="Calibri" w:cs="Arial"/>
          <w:sz w:val="22"/>
          <w:szCs w:val="22"/>
        </w:rPr>
        <w:t>An interest free loan</w:t>
      </w:r>
    </w:p>
    <w:p w:rsidR="00F30D9C" w:rsidRPr="002210AC" w:rsidRDefault="00F30D9C">
      <w:pPr>
        <w:numPr>
          <w:ilvl w:val="0"/>
          <w:numId w:val="5"/>
        </w:numPr>
        <w:tabs>
          <w:tab w:val="left" w:pos="360"/>
        </w:tabs>
        <w:jc w:val="both"/>
        <w:rPr>
          <w:rFonts w:ascii="Calibri" w:hAnsi="Calibri" w:cs="Arial"/>
          <w:sz w:val="22"/>
          <w:szCs w:val="22"/>
        </w:rPr>
      </w:pPr>
      <w:r w:rsidRPr="002210AC">
        <w:rPr>
          <w:rFonts w:ascii="Calibri" w:hAnsi="Calibri" w:cs="Arial"/>
          <w:sz w:val="22"/>
          <w:szCs w:val="22"/>
        </w:rPr>
        <w:t>Loan of purchased equipment – e.g. a special chair that will remain the property of the Trust.</w:t>
      </w:r>
    </w:p>
    <w:p w:rsidR="00F30D9C" w:rsidRPr="002210AC" w:rsidRDefault="00F30D9C">
      <w:pPr>
        <w:numPr>
          <w:ilvl w:val="0"/>
          <w:numId w:val="5"/>
        </w:numPr>
        <w:tabs>
          <w:tab w:val="left" w:pos="360"/>
        </w:tabs>
        <w:jc w:val="both"/>
        <w:rPr>
          <w:rFonts w:ascii="Calibri" w:hAnsi="Calibri" w:cs="Arial"/>
          <w:sz w:val="22"/>
          <w:szCs w:val="22"/>
        </w:rPr>
      </w:pPr>
      <w:r w:rsidRPr="002210AC">
        <w:rPr>
          <w:rFonts w:ascii="Calibri" w:hAnsi="Calibri" w:cs="Arial"/>
          <w:sz w:val="22"/>
          <w:szCs w:val="22"/>
        </w:rPr>
        <w:t>A combination of a loan and grant</w:t>
      </w:r>
    </w:p>
    <w:p w:rsidR="00F30D9C" w:rsidRPr="002210AC" w:rsidRDefault="00F30D9C">
      <w:pPr>
        <w:numPr>
          <w:ilvl w:val="0"/>
          <w:numId w:val="5"/>
        </w:numPr>
        <w:tabs>
          <w:tab w:val="left" w:pos="360"/>
        </w:tabs>
        <w:jc w:val="both"/>
        <w:rPr>
          <w:rFonts w:ascii="Calibri" w:hAnsi="Calibri" w:cs="Arial"/>
          <w:sz w:val="22"/>
          <w:szCs w:val="22"/>
        </w:rPr>
      </w:pPr>
      <w:r w:rsidRPr="002210AC">
        <w:rPr>
          <w:rFonts w:ascii="Calibri" w:hAnsi="Calibri" w:cs="Arial"/>
          <w:sz w:val="22"/>
          <w:szCs w:val="22"/>
        </w:rPr>
        <w:t>Facilitation of services – e.g. arranging a supply of office furniture</w:t>
      </w:r>
    </w:p>
    <w:p w:rsidR="00F30D9C" w:rsidRPr="002210AC" w:rsidRDefault="00F30D9C">
      <w:pPr>
        <w:numPr>
          <w:ilvl w:val="0"/>
          <w:numId w:val="5"/>
        </w:numPr>
        <w:tabs>
          <w:tab w:val="left" w:pos="360"/>
        </w:tabs>
        <w:jc w:val="both"/>
        <w:rPr>
          <w:rFonts w:ascii="Calibri" w:hAnsi="Calibri" w:cs="Arial"/>
          <w:sz w:val="22"/>
          <w:szCs w:val="22"/>
        </w:rPr>
      </w:pPr>
      <w:r w:rsidRPr="002210AC">
        <w:rPr>
          <w:rFonts w:ascii="Calibri" w:hAnsi="Calibri" w:cs="Arial"/>
          <w:sz w:val="22"/>
          <w:szCs w:val="22"/>
        </w:rPr>
        <w:t>A combination of any of the above at the discretion of the Grants Committee</w:t>
      </w:r>
    </w:p>
    <w:p w:rsidR="00F30D9C" w:rsidRPr="002210AC" w:rsidRDefault="00F30D9C">
      <w:pPr>
        <w:jc w:val="both"/>
        <w:rPr>
          <w:rFonts w:ascii="Calibri" w:hAnsi="Calibri" w:cs="Arial"/>
          <w:sz w:val="22"/>
          <w:szCs w:val="22"/>
        </w:rPr>
      </w:pPr>
    </w:p>
    <w:p w:rsidR="00F30D9C" w:rsidRPr="002210AC" w:rsidRDefault="004540C7">
      <w:pPr>
        <w:jc w:val="both"/>
        <w:rPr>
          <w:rFonts w:ascii="Calibri" w:hAnsi="Calibri" w:cs="Arial"/>
          <w:sz w:val="22"/>
          <w:szCs w:val="22"/>
        </w:rPr>
      </w:pPr>
      <w:r>
        <w:rPr>
          <w:rFonts w:ascii="Calibri" w:hAnsi="Calibri" w:cs="Arial"/>
          <w:sz w:val="22"/>
          <w:szCs w:val="22"/>
        </w:rPr>
        <w:t>T</w:t>
      </w:r>
      <w:r w:rsidR="00F30D9C" w:rsidRPr="002210AC">
        <w:rPr>
          <w:rFonts w:ascii="Calibri" w:hAnsi="Calibri" w:cs="Arial"/>
          <w:sz w:val="22"/>
          <w:szCs w:val="22"/>
        </w:rPr>
        <w:t xml:space="preserve">he Trust </w:t>
      </w:r>
      <w:r>
        <w:rPr>
          <w:rFonts w:ascii="Calibri" w:hAnsi="Calibri" w:cs="Arial"/>
          <w:sz w:val="22"/>
          <w:szCs w:val="22"/>
        </w:rPr>
        <w:t>will</w:t>
      </w:r>
      <w:r w:rsidR="00F30D9C" w:rsidRPr="002210AC">
        <w:rPr>
          <w:rFonts w:ascii="Calibri" w:hAnsi="Calibri" w:cs="Arial"/>
          <w:sz w:val="22"/>
          <w:szCs w:val="22"/>
        </w:rPr>
        <w:t xml:space="preserve"> decide in each case whether money is paid direct to an applicant organisation, to a supplier of goods and services or to a trustworthy third party.</w:t>
      </w:r>
    </w:p>
    <w:p w:rsidR="00F30D9C" w:rsidRPr="002210AC" w:rsidRDefault="00F30D9C">
      <w:pPr>
        <w:jc w:val="both"/>
        <w:rPr>
          <w:rFonts w:ascii="Calibri" w:hAnsi="Calibri" w:cs="Arial"/>
          <w:sz w:val="22"/>
          <w:szCs w:val="22"/>
        </w:rPr>
      </w:pPr>
    </w:p>
    <w:p w:rsidR="00F30D9C" w:rsidRDefault="00F30D9C">
      <w:pPr>
        <w:pStyle w:val="Heading1"/>
        <w:tabs>
          <w:tab w:val="left" w:pos="0"/>
        </w:tabs>
        <w:rPr>
          <w:rFonts w:ascii="Calibri" w:hAnsi="Calibri" w:cs="Arial"/>
          <w:sz w:val="22"/>
          <w:szCs w:val="22"/>
        </w:rPr>
      </w:pPr>
      <w:r w:rsidRPr="002210AC">
        <w:rPr>
          <w:rFonts w:ascii="Calibri" w:hAnsi="Calibri" w:cs="Arial"/>
          <w:sz w:val="22"/>
          <w:szCs w:val="22"/>
        </w:rPr>
        <w:t>Grant Presentation and other publicity opportunities</w:t>
      </w:r>
    </w:p>
    <w:p w:rsidR="00665C30" w:rsidRPr="00665C30" w:rsidRDefault="00665C30" w:rsidP="00665C30"/>
    <w:p w:rsidR="00F30D9C" w:rsidRPr="002210AC" w:rsidRDefault="007D2D2F">
      <w:pPr>
        <w:pStyle w:val="BodyText"/>
        <w:rPr>
          <w:rFonts w:ascii="Calibri" w:hAnsi="Calibri" w:cs="Arial"/>
          <w:sz w:val="22"/>
          <w:szCs w:val="22"/>
        </w:rPr>
      </w:pPr>
      <w:r w:rsidRPr="002210AC">
        <w:rPr>
          <w:rFonts w:ascii="Calibri" w:hAnsi="Calibri" w:cs="Arial"/>
          <w:sz w:val="22"/>
          <w:szCs w:val="22"/>
        </w:rPr>
        <w:t>Excluding third party referrals, e</w:t>
      </w:r>
      <w:r w:rsidR="00F30D9C" w:rsidRPr="002210AC">
        <w:rPr>
          <w:rFonts w:ascii="Calibri" w:hAnsi="Calibri" w:cs="Arial"/>
          <w:sz w:val="22"/>
          <w:szCs w:val="22"/>
        </w:rPr>
        <w:t>ach successful applicant will be invited to attend a grant presentation</w:t>
      </w:r>
      <w:r w:rsidRPr="002210AC">
        <w:rPr>
          <w:rFonts w:ascii="Calibri" w:hAnsi="Calibri" w:cs="Arial"/>
          <w:sz w:val="22"/>
          <w:szCs w:val="22"/>
        </w:rPr>
        <w:t xml:space="preserve"> </w:t>
      </w:r>
      <w:r w:rsidR="00F30D9C" w:rsidRPr="002210AC">
        <w:rPr>
          <w:rFonts w:ascii="Calibri" w:hAnsi="Calibri" w:cs="Arial"/>
          <w:sz w:val="22"/>
          <w:szCs w:val="22"/>
        </w:rPr>
        <w:t xml:space="preserve">and this event may be used for publicity purposes.    However, the Trust will </w:t>
      </w:r>
      <w:r w:rsidR="00F30D9C" w:rsidRPr="002210AC">
        <w:rPr>
          <w:rFonts w:ascii="Calibri" w:hAnsi="Calibri" w:cs="Arial"/>
          <w:sz w:val="22"/>
          <w:szCs w:val="22"/>
        </w:rPr>
        <w:lastRenderedPageBreak/>
        <w:t xml:space="preserve">always preserve </w:t>
      </w:r>
      <w:r w:rsidR="004540C7">
        <w:rPr>
          <w:rFonts w:ascii="Calibri" w:hAnsi="Calibri" w:cs="Arial"/>
          <w:sz w:val="22"/>
          <w:szCs w:val="22"/>
        </w:rPr>
        <w:t>individuals</w:t>
      </w:r>
      <w:r w:rsidRPr="002210AC">
        <w:rPr>
          <w:rFonts w:ascii="Calibri" w:hAnsi="Calibri" w:cs="Arial"/>
          <w:sz w:val="22"/>
          <w:szCs w:val="22"/>
        </w:rPr>
        <w:t>’</w:t>
      </w:r>
      <w:r w:rsidR="00F30D9C" w:rsidRPr="002210AC">
        <w:rPr>
          <w:rFonts w:ascii="Calibri" w:hAnsi="Calibri" w:cs="Arial"/>
          <w:sz w:val="22"/>
          <w:szCs w:val="22"/>
        </w:rPr>
        <w:t xml:space="preserve"> confidentiality and will not reveal any information without an </w:t>
      </w:r>
      <w:r w:rsidR="004540C7">
        <w:rPr>
          <w:rFonts w:ascii="Calibri" w:hAnsi="Calibri" w:cs="Arial"/>
          <w:sz w:val="22"/>
          <w:szCs w:val="22"/>
        </w:rPr>
        <w:t>individual</w:t>
      </w:r>
      <w:r w:rsidRPr="002210AC">
        <w:rPr>
          <w:rFonts w:ascii="Calibri" w:hAnsi="Calibri" w:cs="Arial"/>
          <w:sz w:val="22"/>
          <w:szCs w:val="22"/>
        </w:rPr>
        <w:t>’</w:t>
      </w:r>
      <w:r w:rsidR="00F30D9C" w:rsidRPr="002210AC">
        <w:rPr>
          <w:rFonts w:ascii="Calibri" w:hAnsi="Calibri" w:cs="Arial"/>
          <w:sz w:val="22"/>
          <w:szCs w:val="22"/>
        </w:rPr>
        <w:t>s consent.</w:t>
      </w:r>
      <w:r w:rsidRPr="002210AC">
        <w:rPr>
          <w:rFonts w:ascii="Calibri" w:hAnsi="Calibri" w:cs="Arial"/>
          <w:sz w:val="22"/>
          <w:szCs w:val="22"/>
        </w:rPr>
        <w:t xml:space="preserve"> </w:t>
      </w:r>
      <w:r w:rsidR="00F30D9C" w:rsidRPr="002210AC">
        <w:rPr>
          <w:rFonts w:ascii="Calibri" w:hAnsi="Calibri" w:cs="Arial"/>
          <w:sz w:val="22"/>
          <w:szCs w:val="22"/>
        </w:rPr>
        <w:t>Successful applicants will be encouraged to provide materials that might be used to promote public knowledge about the Trust’s activities.</w:t>
      </w:r>
      <w:r w:rsidRPr="002210AC">
        <w:rPr>
          <w:rFonts w:ascii="Calibri" w:hAnsi="Calibri" w:cs="Arial"/>
          <w:sz w:val="22"/>
          <w:szCs w:val="22"/>
        </w:rPr>
        <w:t xml:space="preserve"> </w:t>
      </w:r>
      <w:r w:rsidR="00F30D9C" w:rsidRPr="002210AC">
        <w:rPr>
          <w:rFonts w:ascii="Calibri" w:hAnsi="Calibri" w:cs="Arial"/>
          <w:sz w:val="22"/>
          <w:szCs w:val="22"/>
        </w:rPr>
        <w:t>Where printed materials are produced as a result of a grant or sporting equipment purchased the Trust may ask for its logo to be displayed.</w:t>
      </w:r>
      <w:r w:rsidR="004540C7">
        <w:rPr>
          <w:rFonts w:ascii="Calibri" w:hAnsi="Calibri" w:cs="Arial"/>
          <w:sz w:val="22"/>
          <w:szCs w:val="22"/>
        </w:rPr>
        <w:t xml:space="preserve">  If organisations or groups wish their application to be treated as confidential they must expressly state this on the application form and it will be honoured.</w:t>
      </w:r>
    </w:p>
    <w:p w:rsidR="00F30D9C" w:rsidRPr="002210AC" w:rsidRDefault="00F30D9C">
      <w:pPr>
        <w:jc w:val="both"/>
        <w:rPr>
          <w:rFonts w:ascii="Calibri" w:hAnsi="Calibri" w:cs="Arial"/>
          <w:sz w:val="22"/>
          <w:szCs w:val="22"/>
        </w:rPr>
      </w:pPr>
    </w:p>
    <w:p w:rsidR="00F30D9C" w:rsidRDefault="00F30D9C">
      <w:pPr>
        <w:pStyle w:val="Heading1"/>
        <w:tabs>
          <w:tab w:val="left" w:pos="0"/>
        </w:tabs>
        <w:rPr>
          <w:rFonts w:ascii="Calibri" w:hAnsi="Calibri" w:cs="Arial"/>
          <w:sz w:val="22"/>
          <w:szCs w:val="22"/>
        </w:rPr>
      </w:pPr>
      <w:r w:rsidRPr="002210AC">
        <w:rPr>
          <w:rFonts w:ascii="Calibri" w:hAnsi="Calibri" w:cs="Arial"/>
          <w:sz w:val="22"/>
          <w:szCs w:val="22"/>
        </w:rPr>
        <w:t>Monitoring</w:t>
      </w:r>
    </w:p>
    <w:p w:rsidR="00665C30" w:rsidRPr="00665C30" w:rsidRDefault="00665C30" w:rsidP="00665C30"/>
    <w:p w:rsidR="00F30D9C" w:rsidRPr="002210AC" w:rsidRDefault="007A4471">
      <w:pPr>
        <w:pStyle w:val="BodyText"/>
        <w:rPr>
          <w:rFonts w:ascii="Calibri" w:hAnsi="Calibri" w:cs="Arial"/>
          <w:sz w:val="22"/>
          <w:szCs w:val="22"/>
        </w:rPr>
      </w:pPr>
      <w:r>
        <w:rPr>
          <w:rFonts w:ascii="Calibri" w:hAnsi="Calibri" w:cs="Arial"/>
          <w:sz w:val="22"/>
          <w:szCs w:val="22"/>
        </w:rPr>
        <w:t>Every</w:t>
      </w:r>
      <w:r w:rsidR="00F30D9C" w:rsidRPr="002210AC">
        <w:rPr>
          <w:rFonts w:ascii="Calibri" w:hAnsi="Calibri" w:cs="Arial"/>
          <w:sz w:val="22"/>
          <w:szCs w:val="22"/>
        </w:rPr>
        <w:t xml:space="preserve"> applicant</w:t>
      </w:r>
      <w:r w:rsidR="007D2D2F" w:rsidRPr="002210AC">
        <w:rPr>
          <w:rFonts w:ascii="Calibri" w:hAnsi="Calibri" w:cs="Arial"/>
          <w:sz w:val="22"/>
          <w:szCs w:val="22"/>
        </w:rPr>
        <w:t xml:space="preserve">, excluding third party referrals, </w:t>
      </w:r>
      <w:r>
        <w:rPr>
          <w:rFonts w:ascii="Calibri" w:hAnsi="Calibri" w:cs="Arial"/>
          <w:sz w:val="22"/>
          <w:szCs w:val="22"/>
        </w:rPr>
        <w:t xml:space="preserve">will be required to complete a monitoring form which must be </w:t>
      </w:r>
      <w:r w:rsidR="00992470">
        <w:rPr>
          <w:rFonts w:ascii="Calibri" w:hAnsi="Calibri" w:cs="Arial"/>
          <w:sz w:val="22"/>
          <w:szCs w:val="22"/>
        </w:rPr>
        <w:t>submitted</w:t>
      </w:r>
      <w:r>
        <w:rPr>
          <w:rFonts w:ascii="Calibri" w:hAnsi="Calibri" w:cs="Arial"/>
          <w:sz w:val="22"/>
          <w:szCs w:val="22"/>
        </w:rPr>
        <w:t xml:space="preserve"> </w:t>
      </w:r>
      <w:r w:rsidR="00F30D9C" w:rsidRPr="002210AC">
        <w:rPr>
          <w:rFonts w:ascii="Calibri" w:hAnsi="Calibri" w:cs="Arial"/>
          <w:sz w:val="22"/>
          <w:szCs w:val="22"/>
        </w:rPr>
        <w:t>within three months.</w:t>
      </w:r>
      <w:r w:rsidR="007D2D2F" w:rsidRPr="002210AC">
        <w:rPr>
          <w:rFonts w:ascii="Calibri" w:hAnsi="Calibri" w:cs="Arial"/>
          <w:sz w:val="22"/>
          <w:szCs w:val="22"/>
        </w:rPr>
        <w:t xml:space="preserve"> </w:t>
      </w:r>
      <w:r w:rsidR="00F30D9C" w:rsidRPr="002210AC">
        <w:rPr>
          <w:rFonts w:ascii="Calibri" w:hAnsi="Calibri" w:cs="Arial"/>
          <w:sz w:val="22"/>
          <w:szCs w:val="22"/>
        </w:rPr>
        <w:t>It may prejudice a future grant if this form is not completed and returned</w:t>
      </w:r>
      <w:r>
        <w:rPr>
          <w:rFonts w:ascii="Calibri" w:hAnsi="Calibri" w:cs="Arial"/>
          <w:sz w:val="22"/>
          <w:szCs w:val="22"/>
        </w:rPr>
        <w:t xml:space="preserve"> in a timely manner.  Any unspent funds must be notified to the Trust who will decide whether the money should be returned or used for alternative means.</w:t>
      </w:r>
    </w:p>
    <w:p w:rsidR="00F30D9C" w:rsidRPr="002210AC" w:rsidRDefault="00F30D9C">
      <w:pPr>
        <w:pStyle w:val="BodyText"/>
        <w:rPr>
          <w:rFonts w:ascii="Calibri" w:hAnsi="Calibri" w:cs="Arial"/>
          <w:sz w:val="22"/>
          <w:szCs w:val="22"/>
        </w:rPr>
      </w:pPr>
    </w:p>
    <w:p w:rsidR="00F30D9C" w:rsidRPr="002210AC" w:rsidRDefault="00F30D9C">
      <w:pPr>
        <w:pStyle w:val="BodyText"/>
        <w:rPr>
          <w:rFonts w:ascii="Calibri" w:hAnsi="Calibri" w:cs="Arial"/>
          <w:sz w:val="22"/>
          <w:szCs w:val="22"/>
        </w:rPr>
      </w:pPr>
      <w:r w:rsidRPr="002210AC">
        <w:rPr>
          <w:rFonts w:ascii="Calibri" w:hAnsi="Calibri" w:cs="Arial"/>
          <w:sz w:val="22"/>
          <w:szCs w:val="22"/>
        </w:rPr>
        <w:t>Any photographs arising from an event would be welcomed for use in the Annual Report.</w:t>
      </w:r>
    </w:p>
    <w:p w:rsidR="00F30D9C" w:rsidRPr="002210AC" w:rsidRDefault="00F30D9C">
      <w:pPr>
        <w:pStyle w:val="BodyText"/>
        <w:rPr>
          <w:rFonts w:ascii="Calibri" w:hAnsi="Calibri" w:cs="Arial"/>
          <w:sz w:val="22"/>
          <w:szCs w:val="22"/>
        </w:rPr>
      </w:pPr>
    </w:p>
    <w:p w:rsidR="00F30D9C" w:rsidRDefault="00F30D9C">
      <w:pPr>
        <w:pStyle w:val="BodyText"/>
        <w:rPr>
          <w:rFonts w:ascii="Calibri" w:hAnsi="Calibri" w:cs="Arial"/>
          <w:b/>
          <w:sz w:val="22"/>
          <w:szCs w:val="22"/>
        </w:rPr>
      </w:pPr>
      <w:r w:rsidRPr="002210AC">
        <w:rPr>
          <w:rFonts w:ascii="Calibri" w:hAnsi="Calibri" w:cs="Arial"/>
          <w:b/>
          <w:sz w:val="22"/>
          <w:szCs w:val="22"/>
        </w:rPr>
        <w:t>Unsuccessful Applicants</w:t>
      </w:r>
    </w:p>
    <w:p w:rsidR="00665C30" w:rsidRPr="002210AC" w:rsidRDefault="00665C30">
      <w:pPr>
        <w:pStyle w:val="BodyText"/>
        <w:rPr>
          <w:rFonts w:ascii="Calibri" w:hAnsi="Calibri" w:cs="Arial"/>
          <w:b/>
          <w:sz w:val="22"/>
          <w:szCs w:val="22"/>
        </w:rPr>
      </w:pPr>
    </w:p>
    <w:p w:rsidR="00F30D9C" w:rsidRPr="002210AC" w:rsidRDefault="00992470">
      <w:pPr>
        <w:pStyle w:val="BodyText"/>
        <w:rPr>
          <w:rFonts w:ascii="Calibri" w:hAnsi="Calibri" w:cs="Arial"/>
          <w:sz w:val="22"/>
          <w:szCs w:val="22"/>
        </w:rPr>
      </w:pPr>
      <w:r>
        <w:rPr>
          <w:rFonts w:ascii="Calibri" w:hAnsi="Calibri" w:cs="Arial"/>
          <w:sz w:val="22"/>
          <w:szCs w:val="22"/>
        </w:rPr>
        <w:t>The Trust reserves the right</w:t>
      </w:r>
      <w:r w:rsidR="00F30D9C" w:rsidRPr="002210AC">
        <w:rPr>
          <w:rFonts w:ascii="Calibri" w:hAnsi="Calibri" w:cs="Arial"/>
          <w:sz w:val="22"/>
          <w:szCs w:val="22"/>
        </w:rPr>
        <w:t xml:space="preserve"> to refuse grant applications without giving reasons to the applicant </w:t>
      </w:r>
      <w:r w:rsidR="00116F73" w:rsidRPr="002210AC">
        <w:rPr>
          <w:rFonts w:ascii="Calibri" w:hAnsi="Calibri" w:cs="Arial"/>
          <w:sz w:val="22"/>
          <w:szCs w:val="22"/>
        </w:rPr>
        <w:t>or</w:t>
      </w:r>
      <w:r w:rsidR="00F30D9C" w:rsidRPr="002210AC">
        <w:rPr>
          <w:rFonts w:ascii="Calibri" w:hAnsi="Calibri" w:cs="Arial"/>
          <w:sz w:val="22"/>
          <w:szCs w:val="22"/>
        </w:rPr>
        <w:t xml:space="preserve"> enter into communication about the refusal.  A grant refused on one occasion does not mean that the Trust will refuse another, and unsuccessful, but eligible applicants are encouraged to re-apply at a later date.</w:t>
      </w:r>
      <w:r w:rsidR="00116F73" w:rsidRPr="002210AC">
        <w:rPr>
          <w:rFonts w:ascii="Calibri" w:hAnsi="Calibri" w:cs="Arial"/>
          <w:sz w:val="22"/>
          <w:szCs w:val="22"/>
        </w:rPr>
        <w:t xml:space="preserve"> The Trust, where it can, will assist and advise all applicants on the criteria for a fundable and successful application.</w:t>
      </w:r>
    </w:p>
    <w:p w:rsidR="00F30D9C" w:rsidRPr="002210AC" w:rsidRDefault="00F30D9C">
      <w:pPr>
        <w:pStyle w:val="BodyText"/>
        <w:pBdr>
          <w:bottom w:val="single" w:sz="4" w:space="1" w:color="000000"/>
        </w:pBdr>
        <w:rPr>
          <w:rFonts w:ascii="Calibri" w:hAnsi="Calibri" w:cs="Arial"/>
          <w:sz w:val="22"/>
          <w:szCs w:val="22"/>
        </w:rPr>
      </w:pPr>
    </w:p>
    <w:p w:rsidR="00F30D9C" w:rsidRPr="002210AC" w:rsidRDefault="00F30D9C">
      <w:pPr>
        <w:pStyle w:val="BodyText"/>
        <w:jc w:val="center"/>
        <w:rPr>
          <w:rFonts w:ascii="Calibri" w:hAnsi="Calibri" w:cs="Arial"/>
          <w:sz w:val="22"/>
          <w:szCs w:val="22"/>
        </w:rPr>
      </w:pPr>
    </w:p>
    <w:p w:rsidR="00877CCC" w:rsidRPr="003739DF" w:rsidRDefault="00F30D9C">
      <w:pPr>
        <w:pStyle w:val="BodyText"/>
        <w:rPr>
          <w:rFonts w:ascii="Calibri" w:hAnsi="Calibri" w:cs="Arial"/>
          <w:i/>
          <w:sz w:val="22"/>
          <w:szCs w:val="22"/>
        </w:rPr>
      </w:pPr>
      <w:r w:rsidRPr="003739DF">
        <w:rPr>
          <w:rFonts w:ascii="Calibri" w:hAnsi="Calibri" w:cs="Arial"/>
          <w:i/>
          <w:sz w:val="22"/>
          <w:szCs w:val="22"/>
        </w:rPr>
        <w:t xml:space="preserve">This information is a general guide to assist applicants for grants, and trustees in an endeavour to make our decision making process transparent.   It is subject to all legal requirements, the terms of the memorandum articles and constitution of the </w:t>
      </w:r>
      <w:r w:rsidR="00992470">
        <w:rPr>
          <w:rFonts w:ascii="Calibri" w:hAnsi="Calibri" w:cs="Arial"/>
          <w:i/>
          <w:sz w:val="22"/>
          <w:szCs w:val="22"/>
        </w:rPr>
        <w:t>T</w:t>
      </w:r>
      <w:r w:rsidRPr="003739DF">
        <w:rPr>
          <w:rFonts w:ascii="Calibri" w:hAnsi="Calibri" w:cs="Arial"/>
          <w:i/>
          <w:sz w:val="22"/>
          <w:szCs w:val="22"/>
        </w:rPr>
        <w:t>rust and the discretion of the trustees.</w:t>
      </w:r>
    </w:p>
    <w:sectPr w:rsidR="00877CCC" w:rsidRPr="003739DF" w:rsidSect="00DE4A20">
      <w:footerReference w:type="default" r:id="rId11"/>
      <w:pgSz w:w="11905" w:h="16837"/>
      <w:pgMar w:top="851" w:right="1644" w:bottom="794" w:left="1644"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A1" w:rsidRDefault="00BA18A1">
      <w:r>
        <w:separator/>
      </w:r>
    </w:p>
  </w:endnote>
  <w:endnote w:type="continuationSeparator" w:id="0">
    <w:p w:rsidR="00BA18A1" w:rsidRDefault="00BA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30" w:rsidRPr="001A5830" w:rsidRDefault="000055DC" w:rsidP="001A5830">
    <w:pPr>
      <w:pStyle w:val="Footer"/>
      <w:jc w:val="right"/>
      <w:rPr>
        <w:rFonts w:asciiTheme="minorHAnsi" w:hAnsiTheme="minorHAnsi"/>
        <w:sz w:val="18"/>
        <w:szCs w:val="18"/>
      </w:rPr>
    </w:pPr>
    <w:r>
      <w:rPr>
        <w:rFonts w:asciiTheme="minorHAnsi" w:hAnsiTheme="minorHAnsi"/>
        <w:sz w:val="18"/>
        <w:szCs w:val="18"/>
      </w:rPr>
      <w:t>Approved 19/05/2016</w:t>
    </w:r>
    <w:r w:rsidR="001A5830" w:rsidRPr="001A5830">
      <w:rPr>
        <w:rFonts w:asciiTheme="minorHAnsi" w:hAnsiTheme="minorHAnsi"/>
        <w:sz w:val="18"/>
        <w:szCs w:val="18"/>
      </w:rPr>
      <w:t xml:space="preserve">. Review </w:t>
    </w:r>
    <w:r>
      <w:rPr>
        <w:rFonts w:asciiTheme="minorHAnsi" w:hAnsiTheme="minorHAnsi"/>
        <w:sz w:val="18"/>
        <w:szCs w:val="18"/>
      </w:rPr>
      <w:t>May 2018.</w:t>
    </w:r>
  </w:p>
  <w:p w:rsidR="003416A1" w:rsidRPr="002210AC" w:rsidRDefault="003416A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A1" w:rsidRDefault="00BA18A1">
      <w:r>
        <w:separator/>
      </w:r>
    </w:p>
  </w:footnote>
  <w:footnote w:type="continuationSeparator" w:id="0">
    <w:p w:rsidR="00BA18A1" w:rsidRDefault="00BA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1440"/>
        </w:tabs>
        <w:ind w:left="1440" w:hanging="72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F30D9C"/>
    <w:rsid w:val="000055DC"/>
    <w:rsid w:val="00020E2B"/>
    <w:rsid w:val="00022856"/>
    <w:rsid w:val="000D62AC"/>
    <w:rsid w:val="001153DC"/>
    <w:rsid w:val="00116F73"/>
    <w:rsid w:val="001A5830"/>
    <w:rsid w:val="0020296E"/>
    <w:rsid w:val="002210AC"/>
    <w:rsid w:val="003416A1"/>
    <w:rsid w:val="0036218D"/>
    <w:rsid w:val="003739DF"/>
    <w:rsid w:val="003C0BF8"/>
    <w:rsid w:val="00411EF9"/>
    <w:rsid w:val="004540C7"/>
    <w:rsid w:val="005335BD"/>
    <w:rsid w:val="005B0AD2"/>
    <w:rsid w:val="005B6035"/>
    <w:rsid w:val="005D7262"/>
    <w:rsid w:val="00632125"/>
    <w:rsid w:val="00637A67"/>
    <w:rsid w:val="00642D13"/>
    <w:rsid w:val="00665C30"/>
    <w:rsid w:val="00731C5C"/>
    <w:rsid w:val="00745F4D"/>
    <w:rsid w:val="00750380"/>
    <w:rsid w:val="007A4471"/>
    <w:rsid w:val="007D1412"/>
    <w:rsid w:val="007D2D2F"/>
    <w:rsid w:val="00877CCC"/>
    <w:rsid w:val="00897FE5"/>
    <w:rsid w:val="008B009D"/>
    <w:rsid w:val="008B74EA"/>
    <w:rsid w:val="008E125F"/>
    <w:rsid w:val="00917393"/>
    <w:rsid w:val="00992470"/>
    <w:rsid w:val="00A04AF1"/>
    <w:rsid w:val="00A55980"/>
    <w:rsid w:val="00B07EDD"/>
    <w:rsid w:val="00B75A0F"/>
    <w:rsid w:val="00B9002A"/>
    <w:rsid w:val="00BA18A1"/>
    <w:rsid w:val="00BC07AC"/>
    <w:rsid w:val="00BD15BA"/>
    <w:rsid w:val="00CC1A97"/>
    <w:rsid w:val="00CC2EB9"/>
    <w:rsid w:val="00D122E4"/>
    <w:rsid w:val="00D236D1"/>
    <w:rsid w:val="00D5744A"/>
    <w:rsid w:val="00DE4A20"/>
    <w:rsid w:val="00E17D69"/>
    <w:rsid w:val="00E26E84"/>
    <w:rsid w:val="00EA7006"/>
    <w:rsid w:val="00EB6E09"/>
    <w:rsid w:val="00F30D9C"/>
    <w:rsid w:val="00F3729C"/>
    <w:rsid w:val="00FA200C"/>
    <w:rsid w:val="00FB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D"/>
    <w:pPr>
      <w:suppressAutoHyphens/>
    </w:pPr>
    <w:rPr>
      <w:sz w:val="24"/>
    </w:rPr>
  </w:style>
  <w:style w:type="paragraph" w:styleId="Heading1">
    <w:name w:val="heading 1"/>
    <w:basedOn w:val="Normal"/>
    <w:next w:val="Normal"/>
    <w:qFormat/>
    <w:rsid w:val="00745F4D"/>
    <w:pPr>
      <w:keepNext/>
      <w:numPr>
        <w:numId w:val="1"/>
      </w:numPr>
      <w:jc w:val="both"/>
      <w:outlineLvl w:val="0"/>
    </w:pPr>
    <w:rPr>
      <w:b/>
    </w:rPr>
  </w:style>
  <w:style w:type="paragraph" w:styleId="Heading2">
    <w:name w:val="heading 2"/>
    <w:basedOn w:val="Normal"/>
    <w:next w:val="Normal"/>
    <w:qFormat/>
    <w:rsid w:val="00745F4D"/>
    <w:pPr>
      <w:keepNext/>
      <w:numPr>
        <w:ilvl w:val="1"/>
        <w:numId w:val="1"/>
      </w:numPr>
      <w:jc w:val="both"/>
      <w:outlineLvl w:val="1"/>
    </w:pPr>
    <w:rPr>
      <w:color w:val="FF0000"/>
      <w:u w:val="single"/>
    </w:rPr>
  </w:style>
  <w:style w:type="paragraph" w:styleId="Heading3">
    <w:name w:val="heading 3"/>
    <w:basedOn w:val="Normal"/>
    <w:next w:val="Normal"/>
    <w:qFormat/>
    <w:rsid w:val="00745F4D"/>
    <w:pPr>
      <w:keepNext/>
      <w:numPr>
        <w:ilvl w:val="2"/>
        <w:numId w:val="1"/>
      </w:numPr>
      <w:jc w:val="both"/>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45F4D"/>
    <w:rPr>
      <w:rFonts w:ascii="Symbol" w:hAnsi="Symbol"/>
    </w:rPr>
  </w:style>
  <w:style w:type="character" w:customStyle="1" w:styleId="WW8Num2z0">
    <w:name w:val="WW8Num2z0"/>
    <w:rsid w:val="00745F4D"/>
    <w:rPr>
      <w:rFonts w:ascii="Symbol" w:hAnsi="Symbol"/>
    </w:rPr>
  </w:style>
  <w:style w:type="character" w:customStyle="1" w:styleId="WW8Num4z0">
    <w:name w:val="WW8Num4z0"/>
    <w:rsid w:val="00745F4D"/>
    <w:rPr>
      <w:rFonts w:ascii="Symbol" w:hAnsi="Symbol"/>
    </w:rPr>
  </w:style>
  <w:style w:type="character" w:customStyle="1" w:styleId="WW8Num5z0">
    <w:name w:val="WW8Num5z0"/>
    <w:rsid w:val="00745F4D"/>
    <w:rPr>
      <w:rFonts w:ascii="Symbol" w:hAnsi="Symbol"/>
    </w:rPr>
  </w:style>
  <w:style w:type="character" w:customStyle="1" w:styleId="WW8Num6z0">
    <w:name w:val="WW8Num6z0"/>
    <w:rsid w:val="00745F4D"/>
    <w:rPr>
      <w:rFonts w:ascii="Symbol" w:hAnsi="Symbol"/>
    </w:rPr>
  </w:style>
  <w:style w:type="character" w:customStyle="1" w:styleId="WW8Num8z0">
    <w:name w:val="WW8Num8z0"/>
    <w:rsid w:val="00745F4D"/>
    <w:rPr>
      <w:rFonts w:ascii="Symbol" w:hAnsi="Symbol"/>
    </w:rPr>
  </w:style>
  <w:style w:type="character" w:customStyle="1" w:styleId="WW8Num9z0">
    <w:name w:val="WW8Num9z0"/>
    <w:rsid w:val="00745F4D"/>
    <w:rPr>
      <w:rFonts w:ascii="Symbol" w:hAnsi="Symbol"/>
    </w:rPr>
  </w:style>
  <w:style w:type="character" w:customStyle="1" w:styleId="WW8Num10z0">
    <w:name w:val="WW8Num10z0"/>
    <w:rsid w:val="00745F4D"/>
    <w:rPr>
      <w:rFonts w:ascii="Symbol" w:hAnsi="Symbol"/>
    </w:rPr>
  </w:style>
  <w:style w:type="character" w:customStyle="1" w:styleId="WW8Num11z0">
    <w:name w:val="WW8Num11z0"/>
    <w:rsid w:val="00745F4D"/>
    <w:rPr>
      <w:rFonts w:ascii="Symbol" w:hAnsi="Symbol"/>
    </w:rPr>
  </w:style>
  <w:style w:type="character" w:customStyle="1" w:styleId="WW8Num12z0">
    <w:name w:val="WW8Num12z0"/>
    <w:rsid w:val="00745F4D"/>
    <w:rPr>
      <w:rFonts w:ascii="Symbol" w:hAnsi="Symbol"/>
    </w:rPr>
  </w:style>
  <w:style w:type="character" w:styleId="Hyperlink">
    <w:name w:val="Hyperlink"/>
    <w:semiHidden/>
    <w:rsid w:val="00745F4D"/>
    <w:rPr>
      <w:color w:val="0000FF"/>
      <w:u w:val="single"/>
    </w:rPr>
  </w:style>
  <w:style w:type="character" w:customStyle="1" w:styleId="FootnoteCharacters">
    <w:name w:val="Footnote Characters"/>
    <w:rsid w:val="00745F4D"/>
    <w:rPr>
      <w:vertAlign w:val="superscript"/>
    </w:rPr>
  </w:style>
  <w:style w:type="character" w:styleId="FootnoteReference">
    <w:name w:val="footnote reference"/>
    <w:semiHidden/>
    <w:rsid w:val="00745F4D"/>
    <w:rPr>
      <w:vertAlign w:val="superscript"/>
    </w:rPr>
  </w:style>
  <w:style w:type="character" w:styleId="EndnoteReference">
    <w:name w:val="endnote reference"/>
    <w:semiHidden/>
    <w:rsid w:val="00745F4D"/>
    <w:rPr>
      <w:vertAlign w:val="superscript"/>
    </w:rPr>
  </w:style>
  <w:style w:type="character" w:customStyle="1" w:styleId="EndnoteCharacters">
    <w:name w:val="Endnote Characters"/>
    <w:rsid w:val="00745F4D"/>
  </w:style>
  <w:style w:type="paragraph" w:customStyle="1" w:styleId="Heading">
    <w:name w:val="Heading"/>
    <w:basedOn w:val="Normal"/>
    <w:next w:val="BodyText"/>
    <w:rsid w:val="00745F4D"/>
    <w:pPr>
      <w:keepNext/>
      <w:spacing w:before="240" w:after="120"/>
    </w:pPr>
    <w:rPr>
      <w:rFonts w:ascii="Arial" w:eastAsia="Lucida Sans Unicode" w:hAnsi="Arial" w:cs="Lucida Sans Unicode"/>
      <w:sz w:val="28"/>
      <w:szCs w:val="28"/>
    </w:rPr>
  </w:style>
  <w:style w:type="paragraph" w:styleId="BodyText">
    <w:name w:val="Body Text"/>
    <w:basedOn w:val="Normal"/>
    <w:semiHidden/>
    <w:rsid w:val="00745F4D"/>
    <w:pPr>
      <w:jc w:val="both"/>
    </w:pPr>
  </w:style>
  <w:style w:type="paragraph" w:styleId="List">
    <w:name w:val="List"/>
    <w:basedOn w:val="BodyText"/>
    <w:semiHidden/>
    <w:rsid w:val="00745F4D"/>
    <w:rPr>
      <w:rFonts w:cs="Lucida Sans Unicode"/>
    </w:rPr>
  </w:style>
  <w:style w:type="paragraph" w:styleId="Caption">
    <w:name w:val="caption"/>
    <w:basedOn w:val="Normal"/>
    <w:qFormat/>
    <w:rsid w:val="00745F4D"/>
    <w:pPr>
      <w:suppressLineNumbers/>
      <w:spacing w:before="120" w:after="120"/>
    </w:pPr>
    <w:rPr>
      <w:rFonts w:cs="Lucida Sans Unicode"/>
      <w:i/>
      <w:iCs/>
      <w:szCs w:val="24"/>
    </w:rPr>
  </w:style>
  <w:style w:type="paragraph" w:customStyle="1" w:styleId="Index">
    <w:name w:val="Index"/>
    <w:basedOn w:val="Normal"/>
    <w:rsid w:val="00745F4D"/>
    <w:pPr>
      <w:suppressLineNumbers/>
    </w:pPr>
    <w:rPr>
      <w:rFonts w:cs="Lucida Sans Unicode"/>
    </w:rPr>
  </w:style>
  <w:style w:type="paragraph" w:styleId="Header">
    <w:name w:val="header"/>
    <w:basedOn w:val="Normal"/>
    <w:semiHidden/>
    <w:rsid w:val="00745F4D"/>
    <w:pPr>
      <w:tabs>
        <w:tab w:val="center" w:pos="4153"/>
        <w:tab w:val="right" w:pos="8306"/>
      </w:tabs>
    </w:pPr>
  </w:style>
  <w:style w:type="paragraph" w:styleId="Footer">
    <w:name w:val="footer"/>
    <w:basedOn w:val="Normal"/>
    <w:link w:val="FooterChar"/>
    <w:uiPriority w:val="99"/>
    <w:rsid w:val="00745F4D"/>
    <w:pPr>
      <w:tabs>
        <w:tab w:val="center" w:pos="4153"/>
        <w:tab w:val="right" w:pos="8306"/>
      </w:tabs>
    </w:pPr>
  </w:style>
  <w:style w:type="paragraph" w:styleId="BodyTextIndent">
    <w:name w:val="Body Text Indent"/>
    <w:basedOn w:val="Normal"/>
    <w:semiHidden/>
    <w:rsid w:val="00745F4D"/>
    <w:pPr>
      <w:ind w:left="360"/>
      <w:jc w:val="both"/>
    </w:pPr>
    <w:rPr>
      <w:color w:val="FF0000"/>
    </w:rPr>
  </w:style>
  <w:style w:type="paragraph" w:styleId="BodyText2">
    <w:name w:val="Body Text 2"/>
    <w:basedOn w:val="Normal"/>
    <w:rsid w:val="00745F4D"/>
    <w:pPr>
      <w:jc w:val="both"/>
    </w:pPr>
    <w:rPr>
      <w:color w:val="FF0000"/>
    </w:rPr>
  </w:style>
  <w:style w:type="paragraph" w:styleId="BodyText3">
    <w:name w:val="Body Text 3"/>
    <w:basedOn w:val="Normal"/>
    <w:rsid w:val="00745F4D"/>
    <w:pPr>
      <w:jc w:val="both"/>
    </w:pPr>
    <w:rPr>
      <w:color w:val="0000FF"/>
    </w:rPr>
  </w:style>
  <w:style w:type="paragraph" w:styleId="FootnoteText">
    <w:name w:val="footnote text"/>
    <w:basedOn w:val="Normal"/>
    <w:semiHidden/>
    <w:rsid w:val="00745F4D"/>
    <w:rPr>
      <w:sz w:val="20"/>
    </w:rPr>
  </w:style>
  <w:style w:type="paragraph" w:styleId="BalloonText">
    <w:name w:val="Balloon Text"/>
    <w:basedOn w:val="Normal"/>
    <w:link w:val="BalloonTextChar"/>
    <w:uiPriority w:val="99"/>
    <w:semiHidden/>
    <w:unhideWhenUsed/>
    <w:rsid w:val="00F30D9C"/>
    <w:rPr>
      <w:rFonts w:ascii="Tahoma" w:hAnsi="Tahoma"/>
      <w:sz w:val="16"/>
      <w:szCs w:val="16"/>
    </w:rPr>
  </w:style>
  <w:style w:type="character" w:customStyle="1" w:styleId="BalloonTextChar">
    <w:name w:val="Balloon Text Char"/>
    <w:link w:val="BalloonText"/>
    <w:uiPriority w:val="99"/>
    <w:semiHidden/>
    <w:rsid w:val="00F30D9C"/>
    <w:rPr>
      <w:rFonts w:ascii="Tahoma" w:hAnsi="Tahoma" w:cs="Tahoma"/>
      <w:sz w:val="16"/>
      <w:szCs w:val="16"/>
    </w:rPr>
  </w:style>
  <w:style w:type="paragraph" w:customStyle="1" w:styleId="normalweb10">
    <w:name w:val="normalweb10"/>
    <w:basedOn w:val="Normal"/>
    <w:rsid w:val="00F30D9C"/>
    <w:pPr>
      <w:suppressAutoHyphens w:val="0"/>
      <w:spacing w:after="480" w:line="312" w:lineRule="atLeast"/>
    </w:pPr>
    <w:rPr>
      <w:color w:val="222222"/>
      <w:sz w:val="31"/>
      <w:szCs w:val="31"/>
    </w:rPr>
  </w:style>
  <w:style w:type="character" w:customStyle="1" w:styleId="FooterChar">
    <w:name w:val="Footer Char"/>
    <w:link w:val="Footer"/>
    <w:uiPriority w:val="99"/>
    <w:rsid w:val="00665C30"/>
    <w:rPr>
      <w:sz w:val="24"/>
      <w:lang w:val="en-GB"/>
    </w:rPr>
  </w:style>
  <w:style w:type="character" w:styleId="CommentReference">
    <w:name w:val="annotation reference"/>
    <w:uiPriority w:val="99"/>
    <w:semiHidden/>
    <w:unhideWhenUsed/>
    <w:rsid w:val="003416A1"/>
    <w:rPr>
      <w:sz w:val="16"/>
      <w:szCs w:val="16"/>
    </w:rPr>
  </w:style>
  <w:style w:type="paragraph" w:styleId="CommentText">
    <w:name w:val="annotation text"/>
    <w:basedOn w:val="Normal"/>
    <w:link w:val="CommentTextChar"/>
    <w:uiPriority w:val="99"/>
    <w:semiHidden/>
    <w:unhideWhenUsed/>
    <w:rsid w:val="003416A1"/>
    <w:rPr>
      <w:sz w:val="20"/>
    </w:rPr>
  </w:style>
  <w:style w:type="character" w:customStyle="1" w:styleId="CommentTextChar">
    <w:name w:val="Comment Text Char"/>
    <w:link w:val="CommentText"/>
    <w:uiPriority w:val="99"/>
    <w:semiHidden/>
    <w:rsid w:val="003416A1"/>
    <w:rPr>
      <w:lang w:val="en-GB"/>
    </w:rPr>
  </w:style>
  <w:style w:type="paragraph" w:styleId="CommentSubject">
    <w:name w:val="annotation subject"/>
    <w:basedOn w:val="CommentText"/>
    <w:next w:val="CommentText"/>
    <w:link w:val="CommentSubjectChar"/>
    <w:uiPriority w:val="99"/>
    <w:semiHidden/>
    <w:unhideWhenUsed/>
    <w:rsid w:val="003416A1"/>
    <w:rPr>
      <w:b/>
      <w:bCs/>
    </w:rPr>
  </w:style>
  <w:style w:type="character" w:customStyle="1" w:styleId="CommentSubjectChar">
    <w:name w:val="Comment Subject Char"/>
    <w:link w:val="CommentSubject"/>
    <w:uiPriority w:val="99"/>
    <w:semiHidden/>
    <w:rsid w:val="003416A1"/>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evenagecommunitytru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A2AB-4EFE-44AC-A704-19E0424A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2015-05-05T15:54:00Z</dcterms:created>
  <dcterms:modified xsi:type="dcterms:W3CDTF">2016-06-09T10:19:00Z</dcterms:modified>
</cp:coreProperties>
</file>